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F" w:rsidRPr="005A30DF" w:rsidRDefault="005A30DF" w:rsidP="005A30DF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  <w:t> </w:t>
      </w:r>
      <w:r>
        <w:rPr>
          <w:rFonts w:ascii="標楷體" w:eastAsia="標楷體" w:hAnsi="標楷體" w:cs="Arial" w:hint="eastAsia"/>
          <w:color w:val="800080"/>
          <w:spacing w:val="10"/>
          <w:kern w:val="0"/>
          <w:sz w:val="40"/>
          <w:szCs w:val="40"/>
          <w:u w:val="single"/>
        </w:rPr>
        <w:t>稻香</w:t>
      </w:r>
      <w:r w:rsidRPr="005A30DF">
        <w:rPr>
          <w:rFonts w:ascii="標楷體" w:eastAsia="標楷體" w:hAnsi="標楷體" w:cs="Arial" w:hint="eastAsia"/>
          <w:color w:val="800080"/>
          <w:spacing w:val="10"/>
          <w:kern w:val="0"/>
          <w:sz w:val="40"/>
          <w:szCs w:val="40"/>
          <w:u w:val="single"/>
        </w:rPr>
        <w:t>國小資訊安全通報事件處理流程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367" w:hanging="56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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資訊安全事件包括：系統被入侵、對外攻擊</w:t>
      </w:r>
      <w:r w:rsidRPr="005A30DF">
        <w:rPr>
          <w:rFonts w:ascii="新細明體" w:eastAsia="新細明體" w:hAnsi="新細明體" w:cs="Arial" w:hint="eastAsia"/>
          <w:color w:val="535353"/>
          <w:spacing w:val="10"/>
          <w:kern w:val="0"/>
          <w:sz w:val="27"/>
          <w:szCs w:val="27"/>
        </w:rPr>
        <w:t>、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針對性攻擊、散播惡意程式、中繼站、電子郵件社交工程攻擊、垃圾郵件、命令或控制伺服器、殭屍電腦、惡意網頁、惡意留言、網頁置換、釣魚網頁、</w:t>
      </w:r>
      <w:proofErr w:type="gramStart"/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個</w:t>
      </w:r>
      <w:proofErr w:type="gramEnd"/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資外</w:t>
      </w:r>
      <w:proofErr w:type="gramStart"/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洩</w:t>
      </w:r>
      <w:proofErr w:type="gramEnd"/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以及通訊中斷等。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367" w:hanging="56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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本校資訊安全事件等級，由輕微至嚴重區分等級如下：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651" w:hanging="480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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符合下列任一情形者，屬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0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級事件：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(1)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未確定事件或待確認工單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: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來自不同計畫所使用新型技術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(A-SOC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，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</w:rPr>
        <w:t> </w:t>
      </w:r>
      <w:proofErr w:type="spellStart"/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miniSOC</w:t>
      </w:r>
      <w:proofErr w:type="spellEnd"/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,…)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所產生之工單，但其正確性有待確認。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(2)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其他單位所告知教育部所屬單位所發生未確定之資安事件。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(3)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教育部及區、縣網路中心檢舉信箱通告之資安事件。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651" w:hanging="480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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符合下列任一情形者，屬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1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級事件：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(1)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非核心業務資料遭洩漏。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(2)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非核心業務系統或資料遭竄改。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(3)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非核心業務運作遭影響或短暫停頓。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651" w:hanging="480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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符合下列任一情形者，屬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2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級事件：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(1)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非屬密級或敏感之核心業務資料遭洩漏。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(2)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核心業務系統或資料遭輕微竄改。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(3)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核心業務運作遭影響或系統效率降低，於可容忍中斷時間內回復正常運作。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651" w:hanging="480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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符合下列任一情形者，屬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3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級事件：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(1)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密級或敏感公務資料遭洩漏。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(2)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核心業務系統或資料遭嚴重竄改。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(3)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核心業務運作遭影響或系統停頓，無法於可容忍中斷時間內回復正常運作。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651" w:hanging="480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lastRenderedPageBreak/>
        <w:t>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符合下列任一情形者，屬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4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級事件：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(1)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國家機密資料遭洩漏。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(2)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國家重要資訊基礎建設系統或資料遭竄改。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793" w:hanging="42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(3)</w:t>
      </w:r>
      <w:r w:rsidRPr="005A30DF">
        <w:rPr>
          <w:rFonts w:ascii="Times New Roman" w:eastAsia="標楷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國家重要資訊基礎建設運作遭影響或系統停頓，無法於可容忍中斷時間內回復正常運作。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367" w:hanging="56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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本校任何人於校內發現異常情況或疑似資安事件，應立即向資訊組長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(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教師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)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通報，資訊組長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(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教師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)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儘速處理並研判事件等級。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367" w:hanging="56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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資訊組長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(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教師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)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當發生研判事件等級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3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（含）以上之事件，應立即通報資訊業務主管及校長，並以電話聯絡教育局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(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處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)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資訊安全管理單位，由校長儘快召集會議研商處理的方式。</w:t>
      </w:r>
      <w:r w:rsidRPr="005A30DF">
        <w:rPr>
          <w:rFonts w:ascii="Arial" w:eastAsia="新細明體" w:hAnsi="Arial" w:cs="Arial"/>
          <w:color w:val="385623"/>
          <w:spacing w:val="10"/>
          <w:kern w:val="0"/>
          <w:sz w:val="27"/>
          <w:szCs w:val="27"/>
        </w:rPr>
        <w:t>(</w:t>
      </w:r>
      <w:proofErr w:type="gramStart"/>
      <w:r w:rsidRPr="005A30DF">
        <w:rPr>
          <w:rFonts w:ascii="標楷體" w:eastAsia="標楷體" w:hAnsi="標楷體" w:cs="Arial" w:hint="eastAsia"/>
          <w:color w:val="385623"/>
          <w:spacing w:val="10"/>
          <w:kern w:val="0"/>
          <w:sz w:val="27"/>
          <w:szCs w:val="27"/>
        </w:rPr>
        <w:t>資安事件</w:t>
      </w:r>
      <w:proofErr w:type="gramEnd"/>
      <w:r w:rsidRPr="005A30DF">
        <w:rPr>
          <w:rFonts w:ascii="標楷體" w:eastAsia="標楷體" w:hAnsi="標楷體" w:cs="Arial" w:hint="eastAsia"/>
          <w:color w:val="385623"/>
          <w:spacing w:val="10"/>
          <w:kern w:val="0"/>
          <w:sz w:val="27"/>
          <w:szCs w:val="27"/>
        </w:rPr>
        <w:t>通報程序，附件</w:t>
      </w:r>
      <w:r w:rsidRPr="005A30DF">
        <w:rPr>
          <w:rFonts w:ascii="Arial" w:eastAsia="新細明體" w:hAnsi="Arial" w:cs="Arial"/>
          <w:color w:val="385623"/>
          <w:spacing w:val="10"/>
          <w:kern w:val="0"/>
          <w:sz w:val="27"/>
          <w:szCs w:val="27"/>
        </w:rPr>
        <w:t>1)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367" w:hanging="56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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本校發生內部無法處理之資通安全事件，應通報新北市教育局資訊安全管理單位協助處理。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367" w:hanging="56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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資安通報依情報來源分為「告知通報」與「自行通報」，若收到「告知通報」事件通知，由資安業務承辦人登入教育機構資安通報平台，完成通報及應變作業。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left="2367" w:hanging="566"/>
        <w:rPr>
          <w:rFonts w:ascii="Arial" w:eastAsia="新細明體" w:hAnsi="Arial" w:cs="Arial"/>
          <w:color w:val="535353"/>
          <w:spacing w:val="10"/>
          <w:kern w:val="0"/>
          <w:sz w:val="15"/>
          <w:szCs w:val="15"/>
        </w:rPr>
      </w:pPr>
      <w:r w:rsidRPr="005A30DF">
        <w:rPr>
          <w:rFonts w:ascii="Wingdings" w:eastAsia="新細明體" w:hAnsi="Wingdings" w:cs="Arial"/>
          <w:color w:val="535353"/>
          <w:spacing w:val="10"/>
          <w:kern w:val="0"/>
          <w:sz w:val="27"/>
          <w:szCs w:val="27"/>
        </w:rPr>
        <w:t>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  <w:szCs w:val="27"/>
        </w:rPr>
        <w:t>  </w:t>
      </w:r>
      <w:r w:rsidRPr="005A30DF">
        <w:rPr>
          <w:rFonts w:ascii="Times New Roman" w:eastAsia="新細明體" w:hAnsi="Times New Roman" w:cs="Times New Roman"/>
          <w:color w:val="535353"/>
          <w:spacing w:val="10"/>
          <w:kern w:val="0"/>
          <w:sz w:val="27"/>
        </w:rPr>
        <w:t> 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資安事件須於發生後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1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小時內進行通報，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0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、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1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、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2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級事件於事件發生後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72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小時內處理完成並結案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(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包括通報與應變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)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，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3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、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4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級事件於事件發生後</w:t>
      </w:r>
      <w:r w:rsidRPr="005A30DF">
        <w:rPr>
          <w:rFonts w:ascii="Arial" w:eastAsia="新細明體" w:hAnsi="Arial" w:cs="Arial"/>
          <w:color w:val="535353"/>
          <w:spacing w:val="10"/>
          <w:kern w:val="0"/>
          <w:sz w:val="27"/>
          <w:szCs w:val="27"/>
        </w:rPr>
        <w:t>36</w:t>
      </w:r>
      <w:r w:rsidRPr="005A30DF">
        <w:rPr>
          <w:rFonts w:ascii="標楷體" w:eastAsia="標楷體" w:hAnsi="標楷體" w:cs="Arial" w:hint="eastAsia"/>
          <w:color w:val="535353"/>
          <w:spacing w:val="10"/>
          <w:kern w:val="0"/>
          <w:sz w:val="27"/>
          <w:szCs w:val="27"/>
        </w:rPr>
        <w:t>小時內完成並結案。</w:t>
      </w:r>
    </w:p>
    <w:p w:rsidR="005A30DF" w:rsidRPr="005A30DF" w:rsidRDefault="005A30DF" w:rsidP="005A30DF">
      <w:pPr>
        <w:widowControl/>
        <w:spacing w:before="100" w:beforeAutospacing="1" w:after="100" w:afterAutospacing="1"/>
        <w:ind w:hanging="360"/>
        <w:jc w:val="center"/>
        <w:rPr>
          <w:rFonts w:ascii="新細明體" w:eastAsia="新細明體" w:hAnsi="新細明體" w:cs="新細明體"/>
          <w:color w:val="535353"/>
          <w:spacing w:val="10"/>
          <w:kern w:val="0"/>
          <w:szCs w:val="24"/>
        </w:rPr>
      </w:pPr>
      <w:r w:rsidRPr="005A30DF">
        <w:rPr>
          <w:rFonts w:ascii="新細明體" w:eastAsia="新細明體" w:hAnsi="新細明體" w:cs="新細明體"/>
          <w:b/>
          <w:bCs/>
          <w:color w:val="535353"/>
          <w:spacing w:val="10"/>
          <w:kern w:val="0"/>
          <w:sz w:val="27"/>
          <w:szCs w:val="27"/>
        </w:rPr>
        <w:lastRenderedPageBreak/>
        <w:t> </w:t>
      </w:r>
      <w:r>
        <w:rPr>
          <w:rFonts w:ascii="新細明體" w:eastAsia="新細明體" w:hAnsi="新細明體" w:cs="新細明體"/>
          <w:b/>
          <w:bCs/>
          <w:noProof/>
          <w:color w:val="535353"/>
          <w:spacing w:val="10"/>
          <w:kern w:val="0"/>
          <w:sz w:val="27"/>
          <w:szCs w:val="27"/>
        </w:rPr>
        <w:drawing>
          <wp:inline distT="0" distB="0" distL="0" distR="0">
            <wp:extent cx="6559550" cy="4413250"/>
            <wp:effectExtent l="19050" t="0" r="0" b="0"/>
            <wp:docPr id="4" name="圖片 4" descr="http://www.shes.ntpc.edu.tw/mediafile/614/editor_doc/691/pic/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es.ntpc.edu.tw/mediafile/614/editor_doc/691/pic/1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13" w:rsidRDefault="002F3F13"/>
    <w:sectPr w:rsidR="002F3F13" w:rsidSect="005A30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0DF"/>
    <w:rsid w:val="002F3F13"/>
    <w:rsid w:val="005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3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A3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A3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2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81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2016-12-07T06:08:00Z</dcterms:created>
  <dcterms:modified xsi:type="dcterms:W3CDTF">2016-12-07T06:13:00Z</dcterms:modified>
</cp:coreProperties>
</file>