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E0" w:rsidRDefault="00EC4B58">
      <w:pPr>
        <w:pStyle w:val="Heading"/>
        <w:spacing w:before="0" w:after="0" w:line="240" w:lineRule="auto"/>
        <w:ind w:left="0" w:firstLine="0"/>
      </w:pPr>
      <w:bookmarkStart w:id="0" w:name="_GoBack"/>
      <w:r>
        <w:rPr>
          <w:rFonts w:ascii="標楷體" w:eastAsia="標楷體" w:hAnsi="標楷體"/>
          <w:b w:val="0"/>
          <w:bCs w:val="0"/>
          <w:sz w:val="40"/>
          <w:szCs w:val="40"/>
        </w:rPr>
        <w:t>幼兒教保及照顧服務實施準則</w:t>
      </w:r>
      <w:r>
        <w:rPr>
          <w:rFonts w:ascii="標楷體" w:eastAsia="標楷體" w:hAnsi="標楷體" w:cs="標楷體"/>
          <w:b w:val="0"/>
          <w:color w:val="000000"/>
          <w:sz w:val="40"/>
          <w:szCs w:val="40"/>
        </w:rPr>
        <w:t>修正條文</w:t>
      </w:r>
    </w:p>
    <w:bookmarkEnd w:id="0"/>
    <w:p w:rsidR="00BF60E0" w:rsidRDefault="00EC4B58">
      <w:pPr>
        <w:pStyle w:val="Standarduser"/>
        <w:tabs>
          <w:tab w:val="left" w:pos="2476"/>
        </w:tabs>
        <w:ind w:left="600" w:hanging="840"/>
        <w:jc w:val="both"/>
      </w:pPr>
      <w:r>
        <w:rPr>
          <w:rFonts w:ascii="標楷體" w:eastAsia="標楷體" w:hAnsi="標楷體" w:cs="標楷體"/>
          <w:color w:val="000000"/>
          <w:sz w:val="28"/>
          <w:szCs w:val="28"/>
        </w:rPr>
        <w:t>第一條</w:t>
      </w:r>
      <w:r>
        <w:rPr>
          <w:rFonts w:ascii="標楷體" w:eastAsia="標楷體" w:hAnsi="標楷體"/>
          <w:b/>
          <w:color w:val="000000"/>
          <w:sz w:val="28"/>
          <w:szCs w:val="28"/>
        </w:rPr>
        <w:t xml:space="preserve">　　</w:t>
      </w:r>
      <w:r>
        <w:rPr>
          <w:rFonts w:ascii="標楷體" w:eastAsia="標楷體" w:hAnsi="標楷體" w:cs="標楷體"/>
          <w:color w:val="000000"/>
          <w:sz w:val="28"/>
          <w:szCs w:val="28"/>
        </w:rPr>
        <w:t>本準則依幼兒教育及照顧法（以下簡稱本法）第十二條第五項規定訂定之。</w:t>
      </w:r>
    </w:p>
    <w:p w:rsidR="00BF60E0" w:rsidRDefault="00EC4B58">
      <w:pPr>
        <w:pStyle w:val="Standarduser"/>
        <w:tabs>
          <w:tab w:val="left" w:pos="2476"/>
        </w:tabs>
        <w:ind w:left="600" w:hanging="840"/>
        <w:jc w:val="both"/>
      </w:pPr>
      <w:r>
        <w:rPr>
          <w:rFonts w:ascii="標楷體" w:eastAsia="標楷體" w:hAnsi="標楷體" w:cs="標楷體"/>
          <w:color w:val="000000"/>
          <w:sz w:val="28"/>
          <w:szCs w:val="28"/>
        </w:rPr>
        <w:t>第二條</w:t>
      </w:r>
      <w:r>
        <w:rPr>
          <w:rFonts w:ascii="標楷體" w:eastAsia="標楷體" w:hAnsi="標楷體"/>
          <w:b/>
          <w:color w:val="000000"/>
          <w:sz w:val="28"/>
          <w:szCs w:val="28"/>
        </w:rPr>
        <w:t xml:space="preserve">　　</w:t>
      </w:r>
      <w:r>
        <w:rPr>
          <w:rFonts w:ascii="標楷體" w:eastAsia="標楷體" w:hAnsi="標楷體" w:cs="標楷體"/>
          <w:color w:val="000000"/>
          <w:sz w:val="28"/>
          <w:szCs w:val="28"/>
        </w:rPr>
        <w:t>幼兒園教保及照顧服務，以幼兒為主體，遵行幼兒本位精神，秉持性別、族群、文化平等、教保並重、尊重父母、監護人或實際照顧幼兒之人之原則辦理，並遵守下列原則：</w:t>
      </w:r>
    </w:p>
    <w:p w:rsidR="00BF60E0" w:rsidRDefault="00EC4B58">
      <w:pPr>
        <w:pStyle w:val="Standarduser"/>
        <w:numPr>
          <w:ilvl w:val="0"/>
          <w:numId w:val="68"/>
        </w:numPr>
        <w:ind w:left="1843"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營造關愛、健康及安全之學習環境。</w:t>
      </w:r>
    </w:p>
    <w:p w:rsidR="00BF60E0" w:rsidRDefault="00EC4B58">
      <w:pPr>
        <w:pStyle w:val="Standarduser"/>
        <w:numPr>
          <w:ilvl w:val="0"/>
          <w:numId w:val="58"/>
        </w:numPr>
        <w:ind w:left="1843"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支持幼兒</w:t>
      </w:r>
      <w:proofErr w:type="gramStart"/>
      <w:r>
        <w:rPr>
          <w:rFonts w:ascii="標楷體" w:eastAsia="標楷體" w:hAnsi="標楷體" w:cs="標楷體"/>
          <w:color w:val="000000"/>
          <w:sz w:val="28"/>
          <w:szCs w:val="28"/>
        </w:rPr>
        <w:t>適齡適</w:t>
      </w:r>
      <w:proofErr w:type="gramEnd"/>
      <w:r>
        <w:rPr>
          <w:rFonts w:ascii="標楷體" w:eastAsia="標楷體" w:hAnsi="標楷體" w:cs="標楷體"/>
          <w:color w:val="000000"/>
          <w:sz w:val="28"/>
          <w:szCs w:val="28"/>
        </w:rPr>
        <w:t>性及均衡發展。</w:t>
      </w:r>
    </w:p>
    <w:p w:rsidR="00BF60E0" w:rsidRDefault="00EC4B58">
      <w:pPr>
        <w:pStyle w:val="Standarduser"/>
        <w:numPr>
          <w:ilvl w:val="0"/>
          <w:numId w:val="58"/>
        </w:numPr>
        <w:ind w:left="1843"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支持家庭育兒之需求。</w:t>
      </w:r>
    </w:p>
    <w:p w:rsidR="00BF60E0" w:rsidRDefault="00EC4B58">
      <w:pPr>
        <w:pStyle w:val="Standarduser"/>
        <w:tabs>
          <w:tab w:val="left" w:pos="2269"/>
        </w:tabs>
        <w:ind w:left="709" w:hanging="851"/>
        <w:jc w:val="both"/>
      </w:pPr>
      <w:r>
        <w:rPr>
          <w:rFonts w:ascii="標楷體" w:eastAsia="標楷體" w:hAnsi="標楷體" w:cs="標楷體"/>
          <w:color w:val="000000"/>
          <w:sz w:val="28"/>
          <w:szCs w:val="28"/>
        </w:rPr>
        <w:t xml:space="preserve">      </w:t>
      </w:r>
      <w:r>
        <w:rPr>
          <w:rFonts w:ascii="標楷體" w:eastAsia="標楷體" w:hAnsi="標楷體"/>
          <w:b/>
          <w:color w:val="000000"/>
          <w:sz w:val="28"/>
          <w:szCs w:val="28"/>
        </w:rPr>
        <w:t xml:space="preserve">　　</w:t>
      </w:r>
      <w:r>
        <w:rPr>
          <w:rFonts w:ascii="標楷體" w:eastAsia="標楷體" w:hAnsi="標楷體" w:cs="標楷體"/>
          <w:color w:val="000000"/>
          <w:sz w:val="28"/>
          <w:szCs w:val="28"/>
        </w:rPr>
        <w:t>幼兒園應本中立原則，不得為特定政治團體或宗教信仰從事宣傳活動。但私立幼兒園得辦理符合其設立宗旨或屬性之特定宗教活動，並應尊重幼兒、父母、監護人或實際照顧幼兒之人及教職員工自主參加之意願，不得因不參加而為歧視待遇。</w:t>
      </w:r>
    </w:p>
    <w:p w:rsidR="00BF60E0" w:rsidRDefault="00EC4B58">
      <w:pPr>
        <w:pStyle w:val="Standarduser"/>
        <w:ind w:left="754" w:hanging="896"/>
        <w:jc w:val="both"/>
      </w:pPr>
      <w:r>
        <w:rPr>
          <w:rFonts w:ascii="標楷體" w:eastAsia="標楷體" w:hAnsi="標楷體" w:cs="細明體"/>
          <w:bCs/>
          <w:kern w:val="0"/>
          <w:sz w:val="28"/>
          <w:szCs w:val="28"/>
          <w:lang w:val="zh-TW"/>
        </w:rPr>
        <w:t>第三條</w:t>
      </w:r>
      <w:r>
        <w:rPr>
          <w:rFonts w:ascii="標楷體" w:eastAsia="標楷體" w:hAnsi="標楷體"/>
          <w:b/>
          <w:color w:val="000000"/>
          <w:sz w:val="28"/>
          <w:szCs w:val="28"/>
        </w:rPr>
        <w:t xml:space="preserve">　　</w:t>
      </w:r>
      <w:r>
        <w:rPr>
          <w:rFonts w:ascii="標楷體" w:eastAsia="標楷體" w:hAnsi="標楷體" w:cs="細明體"/>
          <w:kern w:val="0"/>
          <w:sz w:val="28"/>
          <w:szCs w:val="28"/>
          <w:lang w:val="zh-TW"/>
        </w:rPr>
        <w:t>教保服務人員實施教保及照顧服務，應遵守下列規定：</w:t>
      </w:r>
    </w:p>
    <w:p w:rsidR="00BF60E0" w:rsidRDefault="00EC4B58">
      <w:pPr>
        <w:pStyle w:val="Standarduser"/>
        <w:numPr>
          <w:ilvl w:val="0"/>
          <w:numId w:val="69"/>
        </w:numPr>
        <w:ind w:left="1843"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尊重、接納及公平對待所有幼兒，不得為差別待遇。</w:t>
      </w:r>
    </w:p>
    <w:p w:rsidR="00BF60E0" w:rsidRDefault="00EC4B58">
      <w:pPr>
        <w:pStyle w:val="Standarduser"/>
        <w:ind w:left="1304" w:firstLine="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二、以溫暖、正向之態度，與幼兒建立信賴之關係。</w:t>
      </w:r>
    </w:p>
    <w:p w:rsidR="00BF60E0" w:rsidRDefault="00EC4B58">
      <w:pPr>
        <w:pStyle w:val="Standarduser"/>
        <w:ind w:left="1304" w:firstLine="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三、以符合幼兒理解能力之方式，與幼兒溝通。</w:t>
      </w:r>
    </w:p>
    <w:p w:rsidR="00BF60E0" w:rsidRDefault="00EC4B58">
      <w:pPr>
        <w:pStyle w:val="Standarduser"/>
        <w:ind w:left="1304" w:firstLine="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四、確保幼兒安全，關注幼兒個別生理及心理需求，適時提</w:t>
      </w:r>
    </w:p>
    <w:p w:rsidR="00BF60E0" w:rsidRDefault="00EC4B58">
      <w:pPr>
        <w:pStyle w:val="Standarduser"/>
        <w:ind w:left="1304" w:firstLine="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供協助。</w:t>
      </w:r>
    </w:p>
    <w:p w:rsidR="00BF60E0" w:rsidRDefault="00EC4B58">
      <w:pPr>
        <w:pStyle w:val="Standarduser"/>
        <w:tabs>
          <w:tab w:val="left" w:pos="1983"/>
        </w:tabs>
        <w:ind w:left="707" w:hanging="851"/>
        <w:jc w:val="both"/>
      </w:pPr>
      <w:r>
        <w:rPr>
          <w:rFonts w:ascii="標楷體" w:eastAsia="標楷體" w:hAnsi="標楷體" w:cs="標楷體"/>
          <w:color w:val="000000"/>
          <w:sz w:val="28"/>
          <w:szCs w:val="28"/>
        </w:rPr>
        <w:t>第四條</w:t>
      </w:r>
      <w:r>
        <w:rPr>
          <w:rFonts w:ascii="標楷體" w:eastAsia="標楷體" w:hAnsi="標楷體"/>
          <w:b/>
          <w:color w:val="000000"/>
          <w:sz w:val="28"/>
          <w:szCs w:val="28"/>
        </w:rPr>
        <w:t xml:space="preserve">　　</w:t>
      </w:r>
      <w:r>
        <w:rPr>
          <w:rFonts w:ascii="標楷體" w:eastAsia="標楷體" w:hAnsi="標楷體" w:cs="標楷體"/>
          <w:color w:val="000000"/>
          <w:sz w:val="28"/>
          <w:szCs w:val="28"/>
        </w:rPr>
        <w:t>幼兒園教保活動課程之起訖日期，第一學期為八月三十日至翌年一月二十日，第二學期為二月十一日至六月三十日。但有下列情形之</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者，不在此限：</w:t>
      </w:r>
    </w:p>
    <w:p w:rsidR="00BF60E0" w:rsidRDefault="00EC4B58">
      <w:pPr>
        <w:pStyle w:val="Standarduser"/>
        <w:ind w:left="1304"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一、因應教學需要或父母、監護人或實際照顧幼兒之人托育</w:t>
      </w:r>
    </w:p>
    <w:p w:rsidR="00BF60E0" w:rsidRDefault="00EC4B58">
      <w:pPr>
        <w:pStyle w:val="Standarduser"/>
        <w:ind w:left="1304" w:hanging="567"/>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需求，有調整起訖日期之必要，且</w:t>
      </w:r>
      <w:proofErr w:type="gramStart"/>
      <w:r>
        <w:rPr>
          <w:rFonts w:ascii="標楷體" w:eastAsia="標楷體" w:hAnsi="標楷體" w:cs="標楷體"/>
          <w:color w:val="000000"/>
          <w:sz w:val="28"/>
          <w:szCs w:val="28"/>
        </w:rPr>
        <w:t>調整後教保</w:t>
      </w:r>
      <w:proofErr w:type="gramEnd"/>
      <w:r>
        <w:rPr>
          <w:rFonts w:ascii="標楷體" w:eastAsia="標楷體" w:hAnsi="標楷體" w:cs="標楷體"/>
          <w:color w:val="000000"/>
          <w:sz w:val="28"/>
          <w:szCs w:val="28"/>
        </w:rPr>
        <w:t>活動課程</w:t>
      </w:r>
    </w:p>
    <w:p w:rsidR="00BF60E0" w:rsidRDefault="00EC4B58">
      <w:pPr>
        <w:pStyle w:val="Standarduser"/>
        <w:ind w:left="1304"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日數，不少於本文所定各學期教保活動課程日數。</w:t>
      </w:r>
    </w:p>
    <w:p w:rsidR="00BF60E0" w:rsidRDefault="00EC4B58">
      <w:pPr>
        <w:pStyle w:val="Standarduser"/>
        <w:tabs>
          <w:tab w:val="left" w:pos="2606"/>
          <w:tab w:val="left" w:pos="3176"/>
        </w:tabs>
        <w:ind w:left="1361" w:hanging="624"/>
        <w:jc w:val="both"/>
        <w:rPr>
          <w:rFonts w:ascii="標楷體" w:eastAsia="標楷體" w:hAnsi="標楷體" w:cs="標楷體"/>
          <w:color w:val="000000"/>
          <w:sz w:val="28"/>
          <w:szCs w:val="28"/>
        </w:rPr>
      </w:pPr>
      <w:r>
        <w:rPr>
          <w:rFonts w:ascii="標楷體" w:eastAsia="標楷體" w:hAnsi="標楷體" w:cs="標楷體"/>
          <w:color w:val="000000"/>
          <w:sz w:val="28"/>
          <w:szCs w:val="28"/>
        </w:rPr>
        <w:t>二、依學校型態實驗教育實施條例及公立高級中等以下學校</w:t>
      </w:r>
    </w:p>
    <w:p w:rsidR="00BF60E0" w:rsidRDefault="00EC4B58">
      <w:pPr>
        <w:pStyle w:val="Standarduser"/>
        <w:tabs>
          <w:tab w:val="left" w:pos="2726"/>
        </w:tabs>
        <w:ind w:left="136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委託私人辦理實驗教育條例辦理實驗教育之學校經主管</w:t>
      </w:r>
    </w:p>
    <w:p w:rsidR="00BF60E0" w:rsidRDefault="00EC4B58">
      <w:pPr>
        <w:pStyle w:val="Standarduser"/>
        <w:tabs>
          <w:tab w:val="left" w:pos="2726"/>
        </w:tabs>
        <w:ind w:left="136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機關核准調整學年學期假期起訖日期者，其附設或附屬</w:t>
      </w:r>
    </w:p>
    <w:p w:rsidR="00BF60E0" w:rsidRDefault="00EC4B58">
      <w:pPr>
        <w:pStyle w:val="Standarduser"/>
        <w:tabs>
          <w:tab w:val="left" w:pos="2726"/>
        </w:tabs>
        <w:ind w:left="136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幼兒園教保活動課程之起訖日期，從</w:t>
      </w:r>
      <w:r>
        <w:rPr>
          <w:rFonts w:ascii="標楷體" w:eastAsia="標楷體" w:hAnsi="標楷體" w:cs="標楷體"/>
          <w:color w:val="000000"/>
          <w:sz w:val="28"/>
          <w:szCs w:val="28"/>
        </w:rPr>
        <w:t>學校所定日期辦理。</w:t>
      </w:r>
    </w:p>
    <w:p w:rsidR="00BF60E0" w:rsidRDefault="00EC4B58">
      <w:pPr>
        <w:pStyle w:val="Standarduser"/>
        <w:ind w:left="709" w:firstLine="0"/>
        <w:jc w:val="both"/>
      </w:pPr>
      <w:r>
        <w:rPr>
          <w:rFonts w:ascii="標楷體" w:eastAsia="標楷體" w:hAnsi="標楷體"/>
          <w:b/>
          <w:color w:val="000000"/>
          <w:sz w:val="28"/>
          <w:szCs w:val="28"/>
        </w:rPr>
        <w:lastRenderedPageBreak/>
        <w:t xml:space="preserve">　　</w:t>
      </w:r>
      <w:r>
        <w:rPr>
          <w:rFonts w:ascii="標楷體" w:eastAsia="標楷體" w:hAnsi="標楷體" w:cs="標楷體"/>
          <w:color w:val="000000"/>
          <w:sz w:val="28"/>
          <w:szCs w:val="28"/>
        </w:rPr>
        <w:t>幼兒園教保活動課程之實施時間為上午八時至下午四時；偏遠地區有另為規定之必要者，應報直轄市、縣（市）主管機關核准後為之。</w:t>
      </w:r>
    </w:p>
    <w:p w:rsidR="00BF60E0" w:rsidRDefault="00EC4B58">
      <w:pPr>
        <w:pStyle w:val="Standarduser"/>
        <w:ind w:left="709" w:hanging="1277"/>
        <w:jc w:val="both"/>
      </w:pPr>
      <w:r>
        <w:rPr>
          <w:rFonts w:ascii="標楷體" w:eastAsia="標楷體" w:hAnsi="標楷體" w:cs="標楷體"/>
          <w:color w:val="000000"/>
          <w:sz w:val="28"/>
          <w:szCs w:val="28"/>
        </w:rPr>
        <w:t xml:space="preserve">         </w:t>
      </w:r>
      <w:r>
        <w:rPr>
          <w:rFonts w:ascii="標楷體" w:eastAsia="標楷體" w:hAnsi="標楷體"/>
          <w:b/>
          <w:color w:val="000000"/>
          <w:sz w:val="28"/>
          <w:szCs w:val="28"/>
        </w:rPr>
        <w:t xml:space="preserve">　　</w:t>
      </w:r>
      <w:r>
        <w:rPr>
          <w:rFonts w:ascii="標楷體" w:eastAsia="標楷體" w:hAnsi="標楷體" w:cs="標楷體"/>
          <w:color w:val="000000"/>
          <w:sz w:val="28"/>
          <w:szCs w:val="28"/>
        </w:rPr>
        <w:t>幼兒園依本法第十二條第三項規定提供延長照顧服務，班級人數及照顧服務人員之配置，應符合本法第十六條第一項及第四項規定。但二歲以上未滿三歲幼兒班級因人數稀少，致其無法單獨</w:t>
      </w:r>
      <w:proofErr w:type="gramStart"/>
      <w:r>
        <w:rPr>
          <w:rFonts w:ascii="標楷體" w:eastAsia="標楷體" w:hAnsi="標楷體" w:cs="標楷體"/>
          <w:color w:val="000000"/>
          <w:sz w:val="28"/>
          <w:szCs w:val="28"/>
        </w:rPr>
        <w:t>成班者</w:t>
      </w:r>
      <w:proofErr w:type="gramEnd"/>
      <w:r>
        <w:rPr>
          <w:rFonts w:ascii="標楷體" w:eastAsia="標楷體" w:hAnsi="標楷體" w:cs="標楷體"/>
          <w:color w:val="000000"/>
          <w:sz w:val="28"/>
          <w:szCs w:val="28"/>
        </w:rPr>
        <w:t>，得進行</w:t>
      </w:r>
      <w:proofErr w:type="gramStart"/>
      <w:r>
        <w:rPr>
          <w:rFonts w:ascii="標楷體" w:eastAsia="標楷體" w:hAnsi="標楷體" w:cs="標楷體"/>
          <w:color w:val="000000"/>
          <w:sz w:val="28"/>
          <w:szCs w:val="28"/>
        </w:rPr>
        <w:t>混齡</w:t>
      </w:r>
      <w:proofErr w:type="gramEnd"/>
      <w:r>
        <w:rPr>
          <w:rFonts w:ascii="標楷體" w:eastAsia="標楷體" w:hAnsi="標楷體" w:cs="標楷體"/>
          <w:color w:val="000000"/>
          <w:sz w:val="28"/>
          <w:szCs w:val="28"/>
        </w:rPr>
        <w:t>編班，每班以十五人為限。</w:t>
      </w:r>
    </w:p>
    <w:p w:rsidR="00BF60E0" w:rsidRDefault="00EC4B58">
      <w:pPr>
        <w:pStyle w:val="Standard"/>
        <w:spacing w:line="400" w:lineRule="atLeast"/>
        <w:ind w:left="720" w:hanging="862"/>
        <w:jc w:val="both"/>
        <w:rPr>
          <w:rFonts w:hint="eastAsia"/>
        </w:rPr>
      </w:pPr>
      <w:r>
        <w:rPr>
          <w:rFonts w:ascii="標楷體" w:eastAsia="標楷體" w:hAnsi="標楷體" w:cs="細明體"/>
          <w:bCs/>
          <w:kern w:val="0"/>
          <w:sz w:val="28"/>
          <w:szCs w:val="28"/>
          <w:lang w:val="zh-TW" w:bidi="ar-SA"/>
        </w:rPr>
        <w:t>第五條</w:t>
      </w:r>
      <w:r>
        <w:rPr>
          <w:rFonts w:ascii="標楷體" w:eastAsia="標楷體" w:hAnsi="標楷體"/>
          <w:b/>
          <w:color w:val="000000"/>
          <w:sz w:val="28"/>
          <w:szCs w:val="28"/>
        </w:rPr>
        <w:t xml:space="preserve">　　</w:t>
      </w:r>
      <w:r>
        <w:rPr>
          <w:rFonts w:ascii="標楷體" w:eastAsia="標楷體" w:hAnsi="標楷體" w:cs="細明體"/>
          <w:bCs/>
          <w:kern w:val="0"/>
          <w:sz w:val="28"/>
          <w:szCs w:val="28"/>
          <w:lang w:val="zh-TW" w:bidi="ar-SA"/>
        </w:rPr>
        <w:t>幼兒園</w:t>
      </w:r>
      <w:proofErr w:type="gramStart"/>
      <w:r>
        <w:rPr>
          <w:rFonts w:ascii="標楷體" w:eastAsia="標楷體" w:hAnsi="標楷體" w:cs="細明體"/>
          <w:bCs/>
          <w:kern w:val="0"/>
          <w:sz w:val="28"/>
          <w:szCs w:val="28"/>
          <w:lang w:val="zh-TW" w:bidi="ar-SA"/>
        </w:rPr>
        <w:t>得視園內</w:t>
      </w:r>
      <w:proofErr w:type="gramEnd"/>
      <w:r>
        <w:rPr>
          <w:rFonts w:ascii="標楷體" w:eastAsia="標楷體" w:hAnsi="標楷體" w:cs="細明體"/>
          <w:bCs/>
          <w:kern w:val="0"/>
          <w:sz w:val="28"/>
          <w:szCs w:val="28"/>
          <w:lang w:val="zh-TW" w:bidi="ar-SA"/>
        </w:rPr>
        <w:t>設施設備與人力資源及幼兒</w:t>
      </w:r>
      <w:r>
        <w:rPr>
          <w:rFonts w:ascii="標楷體" w:eastAsia="標楷體" w:hAnsi="標楷體" w:cs="標楷體"/>
          <w:color w:val="000000"/>
          <w:sz w:val="28"/>
          <w:szCs w:val="28"/>
        </w:rPr>
        <w:t>父母、監護人或實際照顧幼兒之人</w:t>
      </w:r>
      <w:r>
        <w:rPr>
          <w:rFonts w:ascii="標楷體" w:eastAsia="標楷體" w:hAnsi="標楷體" w:cs="細明體"/>
          <w:bCs/>
          <w:kern w:val="0"/>
          <w:sz w:val="28"/>
          <w:szCs w:val="28"/>
          <w:lang w:val="zh-TW" w:bidi="ar-SA"/>
        </w:rPr>
        <w:t>之需求，經各直轄市、縣（市）主管機關核准後，</w:t>
      </w:r>
      <w:r>
        <w:rPr>
          <w:rFonts w:ascii="標楷體" w:eastAsia="標楷體" w:hAnsi="標楷體" w:cs="細明體"/>
          <w:color w:val="000000"/>
          <w:kern w:val="0"/>
          <w:sz w:val="28"/>
          <w:szCs w:val="28"/>
          <w:lang w:val="zh-TW"/>
        </w:rPr>
        <w:t>提供幼兒過夜服務；其過夜服務之相關資料應予留存，以供查考。</w:t>
      </w:r>
    </w:p>
    <w:p w:rsidR="00BF60E0" w:rsidRDefault="00EC4B58">
      <w:pPr>
        <w:pStyle w:val="Standard"/>
        <w:spacing w:line="400" w:lineRule="atLeast"/>
        <w:ind w:left="709"/>
        <w:jc w:val="both"/>
        <w:rPr>
          <w:rFonts w:hint="eastAsia"/>
        </w:rPr>
      </w:pP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幼兒園提供前項過夜服務者，所照顧幼兒之總人數不得超過六人。幼兒三人以下者，至少</w:t>
      </w:r>
      <w:proofErr w:type="gramStart"/>
      <w:r>
        <w:rPr>
          <w:rFonts w:ascii="標楷體" w:eastAsia="標楷體" w:hAnsi="標楷體" w:cs="細明體"/>
          <w:color w:val="000000"/>
          <w:kern w:val="0"/>
          <w:sz w:val="28"/>
          <w:szCs w:val="28"/>
          <w:lang w:val="zh-TW"/>
        </w:rPr>
        <w:t>應置教保</w:t>
      </w:r>
      <w:proofErr w:type="gramEnd"/>
      <w:r>
        <w:rPr>
          <w:rFonts w:ascii="標楷體" w:eastAsia="標楷體" w:hAnsi="標楷體" w:cs="細明體"/>
          <w:color w:val="000000"/>
          <w:kern w:val="0"/>
          <w:sz w:val="28"/>
          <w:szCs w:val="28"/>
          <w:lang w:val="zh-TW"/>
        </w:rPr>
        <w:t>服務人員一人；幼兒四人至六人者，至少</w:t>
      </w:r>
      <w:proofErr w:type="gramStart"/>
      <w:r>
        <w:rPr>
          <w:rFonts w:ascii="標楷體" w:eastAsia="標楷體" w:hAnsi="標楷體" w:cs="細明體"/>
          <w:color w:val="000000"/>
          <w:kern w:val="0"/>
          <w:sz w:val="28"/>
          <w:szCs w:val="28"/>
          <w:lang w:val="zh-TW"/>
        </w:rPr>
        <w:t>應置教保</w:t>
      </w:r>
      <w:proofErr w:type="gramEnd"/>
      <w:r>
        <w:rPr>
          <w:rFonts w:ascii="標楷體" w:eastAsia="標楷體" w:hAnsi="標楷體" w:cs="細明體"/>
          <w:color w:val="000000"/>
          <w:kern w:val="0"/>
          <w:sz w:val="28"/>
          <w:szCs w:val="28"/>
          <w:lang w:val="zh-TW"/>
        </w:rPr>
        <w:t>服務人員二人。</w:t>
      </w:r>
    </w:p>
    <w:p w:rsidR="00BF60E0" w:rsidRDefault="00EC4B58">
      <w:pPr>
        <w:pStyle w:val="Standard"/>
        <w:spacing w:line="400" w:lineRule="atLeast"/>
        <w:ind w:left="360" w:hanging="360"/>
        <w:jc w:val="both"/>
        <w:rPr>
          <w:rFonts w:hint="eastAsia"/>
        </w:rPr>
      </w:pPr>
      <w:r>
        <w:rPr>
          <w:rFonts w:ascii="標楷體" w:eastAsia="標楷體" w:hAnsi="標楷體" w:cs="Consolas"/>
          <w:iCs/>
          <w:color w:val="80808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提供過夜服務之人員應保持警醒，並定時確認幼兒狀況。</w:t>
      </w:r>
    </w:p>
    <w:p w:rsidR="00BF60E0" w:rsidRDefault="00EC4B58">
      <w:pPr>
        <w:pStyle w:val="Standard"/>
        <w:spacing w:line="400" w:lineRule="atLeast"/>
        <w:ind w:left="720" w:hanging="862"/>
        <w:jc w:val="both"/>
        <w:rPr>
          <w:rFonts w:hint="eastAsia"/>
        </w:rPr>
      </w:pPr>
      <w:r>
        <w:rPr>
          <w:rFonts w:ascii="標楷體" w:eastAsia="標楷體" w:hAnsi="標楷體" w:cs="細明體"/>
          <w:bCs/>
          <w:kern w:val="0"/>
          <w:sz w:val="28"/>
          <w:szCs w:val="28"/>
          <w:lang w:val="zh-TW" w:bidi="ar-SA"/>
        </w:rPr>
        <w:t>第六條</w:t>
      </w:r>
      <w:r>
        <w:rPr>
          <w:rFonts w:ascii="標楷體" w:eastAsia="標楷體" w:hAnsi="標楷體"/>
          <w:b/>
          <w:color w:val="000000"/>
          <w:sz w:val="28"/>
          <w:szCs w:val="28"/>
        </w:rPr>
        <w:t xml:space="preserve">　　</w:t>
      </w:r>
      <w:r>
        <w:rPr>
          <w:rFonts w:ascii="標楷體" w:eastAsia="標楷體" w:hAnsi="標楷體" w:cs="細明體"/>
          <w:bCs/>
          <w:kern w:val="0"/>
          <w:sz w:val="28"/>
          <w:szCs w:val="28"/>
          <w:lang w:val="zh-TW" w:bidi="ar-SA"/>
        </w:rPr>
        <w:t>幼兒園依本法第十二條第四項規定提供臨時照顧服務者，其全</w:t>
      </w:r>
      <w:r>
        <w:rPr>
          <w:rFonts w:ascii="標楷體" w:eastAsia="標楷體" w:hAnsi="標楷體" w:cs="細明體"/>
          <w:color w:val="000000"/>
          <w:kern w:val="0"/>
          <w:sz w:val="28"/>
          <w:szCs w:val="28"/>
          <w:lang w:val="zh-TW"/>
        </w:rPr>
        <w:t>園幼兒人數，不得超過設立許可證書所載之核定招收總人數。</w:t>
      </w:r>
    </w:p>
    <w:p w:rsidR="00BF60E0" w:rsidRDefault="00EC4B58">
      <w:pPr>
        <w:pStyle w:val="Standard"/>
        <w:spacing w:line="400" w:lineRule="atLeast"/>
        <w:ind w:left="709" w:hanging="709"/>
        <w:jc w:val="both"/>
        <w:rPr>
          <w:rFonts w:hint="eastAsia"/>
        </w:rPr>
      </w:pPr>
      <w:r>
        <w:rPr>
          <w:rFonts w:ascii="標楷體" w:eastAsia="標楷體" w:hAnsi="標楷體" w:cs="Consolas"/>
          <w:iCs/>
          <w:color w:val="80808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前項服務於教保服務時間提供者，班級人數及教保服務人員之配置，應符合本法第十六條第一項及第四項規定；於延</w:t>
      </w:r>
      <w:r>
        <w:rPr>
          <w:rFonts w:ascii="標楷體" w:eastAsia="標楷體" w:hAnsi="標楷體" w:cs="細明體"/>
          <w:color w:val="000000"/>
          <w:kern w:val="0"/>
          <w:sz w:val="28"/>
          <w:szCs w:val="28"/>
          <w:lang w:val="zh-TW"/>
        </w:rPr>
        <w:t>長照顧服務時間提供者，班級人數及照顧服務人員之配置，依第四條第三項規定辦理。</w:t>
      </w:r>
    </w:p>
    <w:p w:rsidR="00BF60E0" w:rsidRDefault="00EC4B58">
      <w:pPr>
        <w:pStyle w:val="Standard"/>
        <w:spacing w:line="400" w:lineRule="atLeast"/>
        <w:jc w:val="both"/>
        <w:rPr>
          <w:rFonts w:hint="eastAsia"/>
        </w:rPr>
      </w:pPr>
      <w:r>
        <w:rPr>
          <w:rFonts w:ascii="標楷體" w:eastAsia="標楷體" w:hAnsi="標楷體" w:cs="Consolas"/>
          <w:iCs/>
          <w:color w:val="80808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第一項臨時照顧服務之相關資料，應予留存，以供查考。</w:t>
      </w:r>
    </w:p>
    <w:p w:rsidR="00BF60E0" w:rsidRDefault="00EC4B58">
      <w:pPr>
        <w:pStyle w:val="Standard"/>
        <w:spacing w:line="400" w:lineRule="atLeast"/>
        <w:ind w:left="720" w:hanging="862"/>
        <w:jc w:val="both"/>
        <w:rPr>
          <w:rFonts w:hint="eastAsia"/>
        </w:rPr>
      </w:pPr>
      <w:r>
        <w:rPr>
          <w:rFonts w:ascii="標楷體" w:eastAsia="標楷體" w:hAnsi="標楷體" w:cs="細明體"/>
          <w:bCs/>
          <w:kern w:val="0"/>
          <w:sz w:val="28"/>
          <w:szCs w:val="28"/>
          <w:lang w:val="zh-TW"/>
        </w:rPr>
        <w:t>第七條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幼兒園應依據各年齡層幼兒之需求，安排規律之作息。</w:t>
      </w:r>
    </w:p>
    <w:p w:rsidR="00BF60E0" w:rsidRDefault="00EC4B58">
      <w:pPr>
        <w:pStyle w:val="Standard"/>
        <w:spacing w:line="400" w:lineRule="atLeast"/>
        <w:ind w:left="709"/>
        <w:jc w:val="both"/>
        <w:rPr>
          <w:rFonts w:hint="eastAsia"/>
        </w:rPr>
      </w:pP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幼兒園應視幼兒身體發展需求提供其點心，對於上、下午均參與教保活動課程之幼兒，應提供其午餐，並安排午睡時間。</w:t>
      </w:r>
    </w:p>
    <w:p w:rsidR="00BF60E0" w:rsidRDefault="00EC4B58">
      <w:pPr>
        <w:pStyle w:val="Standard"/>
        <w:spacing w:line="400" w:lineRule="atLeast"/>
        <w:ind w:left="709" w:hanging="851"/>
        <w:jc w:val="both"/>
        <w:rPr>
          <w:rFonts w:hint="eastAsia"/>
        </w:rPr>
      </w:pPr>
      <w:r>
        <w:rPr>
          <w:rFonts w:ascii="標楷體" w:eastAsia="標楷體" w:hAnsi="標楷體" w:cs="Consolas"/>
          <w:iCs/>
          <w:color w:val="80808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幼兒園點心與正餐時間，至少間隔二小時；午睡與餐點時間，至少間隔半小時。</w:t>
      </w:r>
    </w:p>
    <w:p w:rsidR="00BF60E0" w:rsidRDefault="00EC4B58">
      <w:pPr>
        <w:pStyle w:val="Standard"/>
        <w:spacing w:line="400" w:lineRule="atLeast"/>
        <w:ind w:left="709"/>
        <w:jc w:val="both"/>
        <w:rPr>
          <w:rFonts w:hint="eastAsia"/>
        </w:rPr>
      </w:pP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第二項所定午睡時間，二歲以上未滿三歲幼兒，以不超過二小時為原則，三歲以上至入國民小學前幼兒，以不超過一小時三十分鐘為原則；並應安排教保服務</w:t>
      </w:r>
      <w:proofErr w:type="gramStart"/>
      <w:r>
        <w:rPr>
          <w:rFonts w:ascii="標楷體" w:eastAsia="標楷體" w:hAnsi="標楷體" w:cs="細明體"/>
          <w:color w:val="000000"/>
          <w:kern w:val="0"/>
          <w:sz w:val="28"/>
          <w:szCs w:val="28"/>
          <w:lang w:val="zh-TW"/>
        </w:rPr>
        <w:t>人員在場照</w:t>
      </w:r>
      <w:proofErr w:type="gramEnd"/>
      <w:r>
        <w:rPr>
          <w:rFonts w:ascii="標楷體" w:eastAsia="標楷體" w:hAnsi="標楷體" w:cs="細明體"/>
          <w:color w:val="000000"/>
          <w:kern w:val="0"/>
          <w:sz w:val="28"/>
          <w:szCs w:val="28"/>
          <w:lang w:val="zh-TW"/>
        </w:rPr>
        <w:t>護。</w:t>
      </w:r>
    </w:p>
    <w:p w:rsidR="00BF60E0" w:rsidRDefault="00EC4B58">
      <w:pPr>
        <w:pStyle w:val="Standard"/>
        <w:spacing w:line="400" w:lineRule="atLeast"/>
        <w:ind w:left="698" w:hanging="840"/>
        <w:jc w:val="both"/>
        <w:rPr>
          <w:rFonts w:hint="eastAsia"/>
        </w:rPr>
      </w:pPr>
      <w:r>
        <w:rPr>
          <w:rFonts w:ascii="標楷體" w:eastAsia="標楷體" w:hAnsi="標楷體" w:cs="細明體"/>
          <w:bCs/>
          <w:kern w:val="0"/>
          <w:sz w:val="28"/>
          <w:szCs w:val="28"/>
          <w:lang w:val="zh-TW"/>
        </w:rPr>
        <w:t>第八條</w:t>
      </w:r>
      <w:r>
        <w:rPr>
          <w:rFonts w:ascii="標楷體" w:eastAsia="標楷體" w:hAnsi="標楷體"/>
          <w:b/>
          <w:color w:val="000000"/>
          <w:sz w:val="28"/>
          <w:szCs w:val="28"/>
        </w:rPr>
        <w:t xml:space="preserve">　　</w:t>
      </w:r>
      <w:r>
        <w:rPr>
          <w:rFonts w:ascii="標楷體" w:eastAsia="標楷體" w:hAnsi="標楷體" w:cs="標楷體"/>
          <w:color w:val="000000"/>
          <w:sz w:val="28"/>
          <w:szCs w:val="28"/>
        </w:rPr>
        <w:t>幼兒園</w:t>
      </w:r>
      <w:r>
        <w:rPr>
          <w:rFonts w:ascii="標楷體" w:eastAsia="標楷體" w:hAnsi="標楷體" w:cs="細明體"/>
          <w:kern w:val="0"/>
          <w:sz w:val="28"/>
          <w:szCs w:val="28"/>
          <w:lang w:val="zh-TW"/>
        </w:rPr>
        <w:t>每日應提供幼兒三十分鐘以上之出汗性大肌肉活動時間，活動前、後應安排暖身及緩和活動。</w:t>
      </w:r>
    </w:p>
    <w:p w:rsidR="00BF60E0" w:rsidRDefault="00EC4B58">
      <w:pPr>
        <w:pStyle w:val="Standard"/>
        <w:spacing w:line="400" w:lineRule="atLeast"/>
        <w:ind w:left="698" w:hanging="840"/>
        <w:jc w:val="both"/>
        <w:rPr>
          <w:rFonts w:hint="eastAsia"/>
        </w:rPr>
      </w:pPr>
      <w:r>
        <w:rPr>
          <w:rFonts w:ascii="標楷體" w:eastAsia="標楷體" w:hAnsi="標楷體" w:cs="細明體"/>
          <w:bCs/>
          <w:kern w:val="0"/>
          <w:sz w:val="28"/>
          <w:szCs w:val="28"/>
          <w:lang w:val="zh-TW"/>
        </w:rPr>
        <w:t>第九條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幼兒園每學期應至少為每位幼兒測量一次身高及體重，並依本法第三十二條第二項規定，載入幼兒健康資料檔案，妥善管理及保存。</w:t>
      </w:r>
    </w:p>
    <w:p w:rsidR="00BF60E0" w:rsidRDefault="00EC4B58">
      <w:pPr>
        <w:pStyle w:val="Standard"/>
        <w:spacing w:line="400" w:lineRule="atLeast"/>
        <w:ind w:left="698" w:hanging="840"/>
        <w:jc w:val="both"/>
        <w:rPr>
          <w:rFonts w:hint="eastAsia"/>
        </w:rPr>
      </w:pPr>
      <w:r>
        <w:rPr>
          <w:rFonts w:ascii="標楷體" w:eastAsia="標楷體" w:hAnsi="標楷體" w:cs="細明體"/>
          <w:color w:val="00000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幼兒園應定期對全園幼兒實施發展篩檢，對於未達發展目標、疑似身心障礙或發展遲緩之幼兒，應依特殊教育法及兒童及少年福利</w:t>
      </w:r>
      <w:r>
        <w:rPr>
          <w:rFonts w:ascii="標楷體" w:eastAsia="標楷體" w:hAnsi="標楷體" w:cs="細明體"/>
          <w:color w:val="000000"/>
          <w:kern w:val="0"/>
          <w:sz w:val="28"/>
          <w:szCs w:val="28"/>
          <w:lang w:val="zh-TW"/>
        </w:rPr>
        <w:t>與權益保障法之相關規定辦理。</w:t>
      </w:r>
    </w:p>
    <w:p w:rsidR="00BF60E0" w:rsidRDefault="00EC4B58">
      <w:pPr>
        <w:pStyle w:val="Standard"/>
        <w:spacing w:line="400" w:lineRule="atLeast"/>
        <w:ind w:left="-2" w:hanging="140"/>
        <w:jc w:val="both"/>
        <w:rPr>
          <w:rFonts w:hint="eastAsia"/>
        </w:rPr>
      </w:pPr>
      <w:r>
        <w:rPr>
          <w:rFonts w:ascii="標楷體" w:eastAsia="標楷體" w:hAnsi="標楷體" w:cs="細明體"/>
          <w:bCs/>
          <w:kern w:val="0"/>
          <w:sz w:val="28"/>
          <w:szCs w:val="28"/>
          <w:lang w:val="zh-TW"/>
        </w:rPr>
        <w:t>第十條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幼兒園應保持全園之整潔及衛生。</w:t>
      </w:r>
    </w:p>
    <w:p w:rsidR="00BF60E0" w:rsidRDefault="00EC4B58">
      <w:pPr>
        <w:pStyle w:val="Standard"/>
        <w:spacing w:line="400" w:lineRule="atLeast"/>
        <w:ind w:left="-2" w:hanging="140"/>
        <w:jc w:val="both"/>
        <w:rPr>
          <w:rFonts w:hint="eastAsia"/>
        </w:rPr>
      </w:pPr>
      <w:r>
        <w:rPr>
          <w:rFonts w:ascii="標楷體" w:eastAsia="標楷體" w:hAnsi="標楷體" w:cs="細明體"/>
          <w:bCs/>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幼兒個人用品及</w:t>
      </w:r>
      <w:proofErr w:type="gramStart"/>
      <w:r>
        <w:rPr>
          <w:rFonts w:ascii="標楷體" w:eastAsia="標楷體" w:hAnsi="標楷體" w:cs="細明體"/>
          <w:color w:val="000000"/>
          <w:kern w:val="0"/>
          <w:sz w:val="28"/>
          <w:szCs w:val="28"/>
          <w:lang w:val="zh-TW"/>
        </w:rPr>
        <w:t>寢具應區隔</w:t>
      </w:r>
      <w:proofErr w:type="gramEnd"/>
      <w:r>
        <w:rPr>
          <w:rFonts w:ascii="標楷體" w:eastAsia="標楷體" w:hAnsi="標楷體" w:cs="細明體"/>
          <w:color w:val="000000"/>
          <w:kern w:val="0"/>
          <w:sz w:val="28"/>
          <w:szCs w:val="28"/>
          <w:lang w:val="zh-TW"/>
        </w:rPr>
        <w:t>放置，並定期清潔及消毒。</w:t>
      </w:r>
    </w:p>
    <w:p w:rsidR="00BF60E0" w:rsidRDefault="00EC4B58">
      <w:pPr>
        <w:pStyle w:val="Standard"/>
        <w:spacing w:line="400" w:lineRule="atLeast"/>
        <w:ind w:left="-2" w:hanging="140"/>
        <w:jc w:val="both"/>
        <w:rPr>
          <w:rFonts w:hint="eastAsia"/>
        </w:rPr>
      </w:pPr>
      <w:r>
        <w:rPr>
          <w:rFonts w:ascii="標楷體" w:eastAsia="標楷體" w:hAnsi="標楷體" w:cs="細明體"/>
          <w:bCs/>
          <w:kern w:val="0"/>
          <w:sz w:val="28"/>
          <w:szCs w:val="28"/>
          <w:lang w:val="zh-TW"/>
        </w:rPr>
        <w:t>第十一條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幼兒園應準備充足且具安全效期之醫療急救用品。</w:t>
      </w:r>
    </w:p>
    <w:p w:rsidR="00BF60E0" w:rsidRDefault="00EC4B58">
      <w:pPr>
        <w:pStyle w:val="Standard"/>
        <w:spacing w:line="400" w:lineRule="atLeast"/>
        <w:ind w:left="1020"/>
        <w:jc w:val="both"/>
        <w:rPr>
          <w:rFonts w:hint="eastAsia"/>
        </w:rPr>
      </w:pPr>
      <w:r>
        <w:rPr>
          <w:rFonts w:ascii="標楷體" w:eastAsia="標楷體" w:hAnsi="標楷體" w:cs="Consolas"/>
          <w:iCs/>
          <w:color w:val="808080"/>
          <w:kern w:val="0"/>
          <w:sz w:val="28"/>
          <w:szCs w:val="28"/>
          <w:lang w:val="zh-TW"/>
        </w:rPr>
        <w:t xml:space="preserve">    </w:t>
      </w:r>
      <w:r>
        <w:rPr>
          <w:rFonts w:ascii="標楷體" w:eastAsia="標楷體" w:hAnsi="標楷體" w:cs="細明體"/>
          <w:color w:val="000000"/>
          <w:kern w:val="0"/>
          <w:sz w:val="28"/>
          <w:szCs w:val="28"/>
          <w:lang w:val="zh-TW"/>
        </w:rPr>
        <w:t>幼兒園應訂立</w:t>
      </w:r>
      <w:proofErr w:type="gramStart"/>
      <w:r>
        <w:rPr>
          <w:rFonts w:ascii="標楷體" w:eastAsia="標楷體" w:hAnsi="標楷體" w:cs="細明體"/>
          <w:color w:val="000000"/>
          <w:kern w:val="0"/>
          <w:sz w:val="28"/>
          <w:szCs w:val="28"/>
          <w:lang w:val="zh-TW"/>
        </w:rPr>
        <w:t>託</w:t>
      </w:r>
      <w:proofErr w:type="gramEnd"/>
      <w:r>
        <w:rPr>
          <w:rFonts w:ascii="標楷體" w:eastAsia="標楷體" w:hAnsi="標楷體" w:cs="細明體"/>
          <w:color w:val="000000"/>
          <w:kern w:val="0"/>
          <w:sz w:val="28"/>
          <w:szCs w:val="28"/>
          <w:lang w:val="zh-TW"/>
        </w:rPr>
        <w:t>藥措施，並告知幼兒之</w:t>
      </w:r>
      <w:r>
        <w:rPr>
          <w:rFonts w:ascii="標楷體" w:eastAsia="標楷體" w:hAnsi="標楷體" w:cs="標楷體"/>
          <w:color w:val="000000"/>
          <w:sz w:val="28"/>
          <w:szCs w:val="28"/>
        </w:rPr>
        <w:t>父母、監護人或實際照顧幼兒之人</w:t>
      </w:r>
      <w:r>
        <w:rPr>
          <w:rFonts w:ascii="標楷體" w:eastAsia="標楷體" w:hAnsi="標楷體" w:cs="細明體"/>
          <w:color w:val="000000"/>
          <w:kern w:val="0"/>
          <w:sz w:val="28"/>
          <w:szCs w:val="28"/>
          <w:lang w:val="zh-TW"/>
        </w:rPr>
        <w:t>。</w:t>
      </w:r>
    </w:p>
    <w:p w:rsidR="00BF60E0" w:rsidRDefault="00EC4B58">
      <w:pPr>
        <w:pStyle w:val="Standard"/>
        <w:spacing w:line="400" w:lineRule="atLeast"/>
        <w:ind w:left="993" w:hanging="284"/>
        <w:jc w:val="both"/>
        <w:rPr>
          <w:rFonts w:hint="eastAsia"/>
        </w:rPr>
      </w:pPr>
      <w:r>
        <w:rPr>
          <w:rFonts w:ascii="標楷體" w:eastAsia="標楷體" w:hAnsi="標楷體" w:cs="細明體"/>
          <w:color w:val="00000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教保服務人員受幼兒之父母、監護人或實際照顧幼兒之人委託協助幼兒用藥，應以醫療機構所開立之藥品為限，其用藥途徑不得以侵入方式為之。</w:t>
      </w:r>
    </w:p>
    <w:p w:rsidR="00BF60E0" w:rsidRDefault="00EC4B58">
      <w:pPr>
        <w:pStyle w:val="Standard"/>
        <w:spacing w:line="400" w:lineRule="atLeast"/>
        <w:ind w:left="993" w:hanging="360"/>
        <w:jc w:val="both"/>
        <w:rPr>
          <w:rFonts w:hint="eastAsia"/>
        </w:rPr>
      </w:pPr>
      <w:r>
        <w:rPr>
          <w:rFonts w:ascii="標楷體" w:eastAsia="標楷體" w:hAnsi="標楷體" w:cs="細明體"/>
          <w:color w:val="00000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教保服務人員協助幼兒用藥時，應確實核對藥品、藥袋之記載，並依所載方式用藥。</w:t>
      </w:r>
    </w:p>
    <w:p w:rsidR="00BF60E0" w:rsidRDefault="00EC4B58">
      <w:pPr>
        <w:pStyle w:val="Standard"/>
        <w:spacing w:line="400" w:lineRule="atLeast"/>
        <w:ind w:left="935" w:hanging="1077"/>
        <w:jc w:val="both"/>
        <w:rPr>
          <w:rFonts w:hint="eastAsia"/>
        </w:rPr>
      </w:pPr>
      <w:r>
        <w:rPr>
          <w:rFonts w:ascii="標楷體" w:eastAsia="標楷體" w:hAnsi="標楷體" w:cs="細明體"/>
          <w:bCs/>
          <w:kern w:val="0"/>
          <w:sz w:val="28"/>
          <w:szCs w:val="28"/>
          <w:lang w:val="zh-TW"/>
        </w:rPr>
        <w:t>第十二條</w:t>
      </w:r>
      <w:r>
        <w:rPr>
          <w:rFonts w:ascii="標楷體" w:eastAsia="標楷體" w:hAnsi="標楷體"/>
          <w:b/>
          <w:color w:val="000000"/>
          <w:sz w:val="28"/>
          <w:szCs w:val="28"/>
        </w:rPr>
        <w:t xml:space="preserve">　　</w:t>
      </w:r>
      <w:r>
        <w:rPr>
          <w:rFonts w:ascii="標楷體" w:eastAsia="標楷體" w:hAnsi="標楷體" w:cs="細明體"/>
          <w:kern w:val="0"/>
          <w:sz w:val="28"/>
          <w:szCs w:val="28"/>
          <w:lang w:val="zh-TW"/>
        </w:rPr>
        <w:t>幼兒園應提供符合幼兒年齡及發展需求之餐點，以自行烹煮方式為原則，其供應原則如下：</w:t>
      </w:r>
    </w:p>
    <w:p w:rsidR="00BF60E0" w:rsidRDefault="00EC4B58">
      <w:pPr>
        <w:pStyle w:val="a8"/>
        <w:numPr>
          <w:ilvl w:val="0"/>
          <w:numId w:val="70"/>
        </w:numPr>
        <w:spacing w:line="400" w:lineRule="atLeast"/>
        <w:ind w:left="212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營養均衡、衛生安全及易於消化。</w:t>
      </w:r>
    </w:p>
    <w:p w:rsidR="00BF60E0" w:rsidRDefault="00EC4B58">
      <w:pPr>
        <w:pStyle w:val="a8"/>
        <w:numPr>
          <w:ilvl w:val="0"/>
          <w:numId w:val="63"/>
        </w:numPr>
        <w:spacing w:line="400" w:lineRule="atLeast"/>
        <w:ind w:left="212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少鹽、少油、少糖。</w:t>
      </w:r>
    </w:p>
    <w:p w:rsidR="00BF60E0" w:rsidRDefault="00EC4B58">
      <w:pPr>
        <w:pStyle w:val="a8"/>
        <w:numPr>
          <w:ilvl w:val="0"/>
          <w:numId w:val="63"/>
        </w:numPr>
        <w:spacing w:line="400" w:lineRule="atLeast"/>
        <w:ind w:left="212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避免供應刺激性及油炸類食物。</w:t>
      </w:r>
    </w:p>
    <w:p w:rsidR="00BF60E0" w:rsidRDefault="00EC4B58">
      <w:pPr>
        <w:pStyle w:val="a8"/>
        <w:numPr>
          <w:ilvl w:val="0"/>
          <w:numId w:val="63"/>
        </w:numPr>
        <w:spacing w:line="400" w:lineRule="atLeast"/>
        <w:ind w:left="212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每日均衡提供六大類食物。</w:t>
      </w:r>
    </w:p>
    <w:p w:rsidR="00BF60E0" w:rsidRDefault="00EC4B58">
      <w:pPr>
        <w:pStyle w:val="Standarduser"/>
        <w:tabs>
          <w:tab w:val="left" w:pos="2956"/>
        </w:tabs>
        <w:ind w:left="840" w:hanging="982"/>
        <w:jc w:val="both"/>
      </w:pPr>
      <w:r>
        <w:rPr>
          <w:rFonts w:ascii="標楷體" w:eastAsia="標楷體" w:hAnsi="標楷體" w:cs="標楷體"/>
          <w:color w:val="000000"/>
          <w:sz w:val="28"/>
          <w:szCs w:val="28"/>
        </w:rPr>
        <w:t>第十三條</w:t>
      </w:r>
      <w:r>
        <w:rPr>
          <w:rFonts w:ascii="標楷體" w:eastAsia="標楷體" w:hAnsi="標楷體"/>
          <w:b/>
          <w:color w:val="000000"/>
          <w:sz w:val="28"/>
          <w:szCs w:val="28"/>
        </w:rPr>
        <w:t xml:space="preserve">　　</w:t>
      </w:r>
      <w:r>
        <w:rPr>
          <w:rFonts w:ascii="標楷體" w:eastAsia="標楷體" w:hAnsi="標楷體" w:cs="標楷體"/>
          <w:color w:val="000000"/>
          <w:sz w:val="28"/>
          <w:szCs w:val="28"/>
        </w:rPr>
        <w:t>幼兒園實施教保活動課程，應依下列規定為之：</w:t>
      </w:r>
    </w:p>
    <w:p w:rsidR="00BF60E0" w:rsidRDefault="00EC4B58">
      <w:pPr>
        <w:pStyle w:val="a8"/>
        <w:numPr>
          <w:ilvl w:val="0"/>
          <w:numId w:val="71"/>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以統整方式實施，建立活動間之連貫性，不得</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分科方式進行。</w:t>
      </w:r>
    </w:p>
    <w:p w:rsidR="00BF60E0" w:rsidRDefault="00EC4B58">
      <w:pPr>
        <w:pStyle w:val="a8"/>
        <w:numPr>
          <w:ilvl w:val="0"/>
          <w:numId w:val="60"/>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以自行發展為原則，並應自幼兒生活經驗及在地生活環境中選材。</w:t>
      </w:r>
    </w:p>
    <w:p w:rsidR="00BF60E0" w:rsidRDefault="00EC4B58">
      <w:pPr>
        <w:pStyle w:val="a8"/>
        <w:numPr>
          <w:ilvl w:val="0"/>
          <w:numId w:val="60"/>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協助幼兒探索生活環境，認同本土、認識並欣賞社會多元文化及語言，並保障幼兒學習國家語言之機會。</w:t>
      </w:r>
    </w:p>
    <w:p w:rsidR="00BF60E0" w:rsidRDefault="00EC4B58">
      <w:pPr>
        <w:pStyle w:val="a8"/>
        <w:numPr>
          <w:ilvl w:val="0"/>
          <w:numId w:val="60"/>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有進行外語教學之必要者，應以部分時間融入教保活動課程，並符合幼兒園教保活動課程大綱</w:t>
      </w:r>
      <w:r>
        <w:rPr>
          <w:rFonts w:ascii="標楷體" w:eastAsia="標楷體" w:hAnsi="標楷體" w:cs="標楷體"/>
          <w:color w:val="000000"/>
          <w:sz w:val="28"/>
          <w:szCs w:val="28"/>
        </w:rPr>
        <w:t>;</w:t>
      </w:r>
      <w:r>
        <w:rPr>
          <w:rFonts w:ascii="標楷體" w:eastAsia="標楷體" w:hAnsi="標楷體" w:cs="標楷體"/>
          <w:color w:val="000000"/>
          <w:sz w:val="28"/>
          <w:szCs w:val="28"/>
        </w:rPr>
        <w:t>不得以全部時間為之，或以部分時間</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非融入方式進行教保活動。</w:t>
      </w:r>
    </w:p>
    <w:p w:rsidR="00BF60E0" w:rsidRDefault="00EC4B58">
      <w:pPr>
        <w:pStyle w:val="a8"/>
        <w:numPr>
          <w:ilvl w:val="0"/>
          <w:numId w:val="60"/>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落實健康教育、生命教育、安全教育、品德教育及性別平等教育。</w:t>
      </w:r>
    </w:p>
    <w:p w:rsidR="00BF60E0" w:rsidRDefault="00EC4B58">
      <w:pPr>
        <w:pStyle w:val="a8"/>
        <w:numPr>
          <w:ilvl w:val="0"/>
          <w:numId w:val="60"/>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訂定行事曆、作息計畫及課程計畫。</w:t>
      </w:r>
    </w:p>
    <w:p w:rsidR="00BF60E0" w:rsidRDefault="00EC4B58">
      <w:pPr>
        <w:pStyle w:val="a8"/>
        <w:numPr>
          <w:ilvl w:val="0"/>
          <w:numId w:val="60"/>
        </w:numPr>
        <w:tabs>
          <w:tab w:val="left" w:pos="5672"/>
        </w:tabs>
        <w:spacing w:line="400" w:lineRule="atLeast"/>
        <w:ind w:left="212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每學期至少召開一次全</w:t>
      </w:r>
      <w:proofErr w:type="gramStart"/>
      <w:r>
        <w:rPr>
          <w:rFonts w:ascii="標楷體" w:eastAsia="標楷體" w:hAnsi="標楷體" w:cs="標楷體"/>
          <w:color w:val="000000"/>
          <w:sz w:val="28"/>
          <w:szCs w:val="28"/>
        </w:rPr>
        <w:t>園性教</w:t>
      </w:r>
      <w:proofErr w:type="gramEnd"/>
      <w:r>
        <w:rPr>
          <w:rFonts w:ascii="標楷體" w:eastAsia="標楷體" w:hAnsi="標楷體" w:cs="標楷體"/>
          <w:color w:val="000000"/>
          <w:sz w:val="28"/>
          <w:szCs w:val="28"/>
        </w:rPr>
        <w:t>保活動課程發展會議。</w:t>
      </w:r>
    </w:p>
    <w:p w:rsidR="00BF60E0" w:rsidRDefault="00EC4B58">
      <w:pPr>
        <w:pStyle w:val="Standarduser"/>
        <w:numPr>
          <w:ilvl w:val="0"/>
          <w:numId w:val="60"/>
        </w:numPr>
        <w:tabs>
          <w:tab w:val="left" w:pos="5671"/>
        </w:tabs>
        <w:ind w:left="2127"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有選用輔助教材之必要時，其內容應符合幼兒園教保活動課程大綱之精神。</w:t>
      </w:r>
    </w:p>
    <w:p w:rsidR="00BF60E0" w:rsidRDefault="00EC4B58">
      <w:pPr>
        <w:pStyle w:val="Standarduser"/>
        <w:numPr>
          <w:ilvl w:val="0"/>
          <w:numId w:val="60"/>
        </w:numPr>
        <w:tabs>
          <w:tab w:val="left" w:pos="5671"/>
        </w:tabs>
        <w:ind w:left="2127"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不得進行以</w:t>
      </w:r>
      <w:proofErr w:type="gramStart"/>
      <w:r>
        <w:rPr>
          <w:rFonts w:ascii="標楷體" w:eastAsia="標楷體" w:hAnsi="標楷體" w:cs="標楷體"/>
          <w:color w:val="000000"/>
          <w:sz w:val="28"/>
          <w:szCs w:val="28"/>
        </w:rPr>
        <w:t>精熟為目的</w:t>
      </w:r>
      <w:proofErr w:type="gramEnd"/>
      <w:r>
        <w:rPr>
          <w:rFonts w:ascii="標楷體" w:eastAsia="標楷體" w:hAnsi="標楷體" w:cs="標楷體"/>
          <w:color w:val="000000"/>
          <w:sz w:val="28"/>
          <w:szCs w:val="28"/>
        </w:rPr>
        <w:t>之讀、寫、算教學。</w:t>
      </w:r>
    </w:p>
    <w:p w:rsidR="00BF60E0" w:rsidRDefault="00EC4B58">
      <w:pPr>
        <w:pStyle w:val="Standard"/>
        <w:spacing w:line="400" w:lineRule="atLeast"/>
        <w:ind w:left="840" w:hanging="982"/>
        <w:rPr>
          <w:rFonts w:hint="eastAsia"/>
        </w:rPr>
      </w:pPr>
      <w:r>
        <w:rPr>
          <w:rFonts w:ascii="標楷體" w:eastAsia="標楷體" w:hAnsi="標楷體" w:cs="細明體"/>
          <w:bCs/>
          <w:kern w:val="0"/>
          <w:sz w:val="28"/>
          <w:szCs w:val="28"/>
          <w:lang w:val="zh-TW"/>
        </w:rPr>
        <w:t>第十四條</w:t>
      </w:r>
      <w:r>
        <w:rPr>
          <w:rFonts w:ascii="標楷體" w:eastAsia="標楷體" w:hAnsi="標楷體"/>
          <w:b/>
          <w:color w:val="000000"/>
          <w:sz w:val="28"/>
          <w:szCs w:val="28"/>
        </w:rPr>
        <w:t xml:space="preserve">　　</w:t>
      </w:r>
      <w:r>
        <w:rPr>
          <w:rFonts w:ascii="標楷體" w:eastAsia="標楷體" w:hAnsi="標楷體" w:cs="細明體"/>
          <w:kern w:val="0"/>
          <w:sz w:val="28"/>
          <w:szCs w:val="28"/>
          <w:lang w:val="zh-TW"/>
        </w:rPr>
        <w:t>幼兒園教保活動課程設計，應考量下列原則：</w:t>
      </w:r>
    </w:p>
    <w:p w:rsidR="00BF60E0" w:rsidRDefault="00EC4B58">
      <w:pPr>
        <w:pStyle w:val="a8"/>
        <w:numPr>
          <w:ilvl w:val="0"/>
          <w:numId w:val="72"/>
        </w:numPr>
        <w:spacing w:line="400" w:lineRule="atLeast"/>
        <w:ind w:left="2127" w:hanging="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符合幼兒發展需求，並重視個別差異。</w:t>
      </w:r>
    </w:p>
    <w:p w:rsidR="00BF60E0" w:rsidRDefault="00EC4B58">
      <w:pPr>
        <w:pStyle w:val="a8"/>
        <w:numPr>
          <w:ilvl w:val="0"/>
          <w:numId w:val="64"/>
        </w:numPr>
        <w:spacing w:line="400" w:lineRule="atLeast"/>
        <w:ind w:left="2127" w:hanging="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兼顧領域之均衡性。</w:t>
      </w:r>
    </w:p>
    <w:p w:rsidR="00BF60E0" w:rsidRDefault="00EC4B58">
      <w:pPr>
        <w:pStyle w:val="a8"/>
        <w:numPr>
          <w:ilvl w:val="0"/>
          <w:numId w:val="64"/>
        </w:numPr>
        <w:spacing w:line="400" w:lineRule="atLeast"/>
        <w:ind w:left="2127" w:hanging="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提供幼兒</w:t>
      </w:r>
      <w:r>
        <w:rPr>
          <w:rFonts w:ascii="標楷體" w:eastAsia="標楷體" w:hAnsi="標楷體" w:cs="細明體"/>
          <w:kern w:val="0"/>
          <w:sz w:val="28"/>
          <w:szCs w:val="28"/>
          <w:lang w:val="zh-TW"/>
        </w:rPr>
        <w:t>透過遊戲主動探索、操作及學習之機會。</w:t>
      </w:r>
    </w:p>
    <w:p w:rsidR="00BF60E0" w:rsidRDefault="00EC4B58">
      <w:pPr>
        <w:pStyle w:val="a8"/>
        <w:numPr>
          <w:ilvl w:val="0"/>
          <w:numId w:val="64"/>
        </w:numPr>
        <w:spacing w:line="400" w:lineRule="atLeast"/>
        <w:ind w:left="2127" w:hanging="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活動安排及教材、教具選用應具安全性。</w:t>
      </w:r>
    </w:p>
    <w:p w:rsidR="00BF60E0" w:rsidRDefault="00EC4B58">
      <w:pPr>
        <w:pStyle w:val="a8"/>
        <w:numPr>
          <w:ilvl w:val="0"/>
          <w:numId w:val="64"/>
        </w:numPr>
        <w:spacing w:line="400" w:lineRule="atLeast"/>
        <w:ind w:left="2127" w:hanging="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涵蓋動態、靜態、室內、室外之多元活動。</w:t>
      </w:r>
    </w:p>
    <w:p w:rsidR="00BF60E0" w:rsidRDefault="00EC4B58">
      <w:pPr>
        <w:pStyle w:val="a8"/>
        <w:numPr>
          <w:ilvl w:val="0"/>
          <w:numId w:val="64"/>
        </w:numPr>
        <w:spacing w:line="400" w:lineRule="atLeast"/>
        <w:ind w:left="2127" w:hanging="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涵蓋團體、小組及個別等教學型態。</w:t>
      </w:r>
    </w:p>
    <w:p w:rsidR="00BF60E0" w:rsidRDefault="00EC4B58">
      <w:pPr>
        <w:pStyle w:val="Standard"/>
        <w:spacing w:line="400" w:lineRule="atLeast"/>
        <w:ind w:left="840" w:hanging="982"/>
        <w:rPr>
          <w:rFonts w:hint="eastAsia"/>
        </w:rPr>
      </w:pPr>
      <w:r>
        <w:rPr>
          <w:rFonts w:ascii="標楷體" w:eastAsia="標楷體" w:hAnsi="標楷體" w:cs="細明體"/>
          <w:bCs/>
          <w:kern w:val="0"/>
          <w:sz w:val="28"/>
          <w:szCs w:val="28"/>
          <w:lang w:val="zh-TW"/>
        </w:rPr>
        <w:t>第十五條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幼兒園為配合教保活動課程需要，得安排校外教學。</w:t>
      </w:r>
    </w:p>
    <w:p w:rsidR="00BF60E0" w:rsidRDefault="00EC4B58">
      <w:pPr>
        <w:pStyle w:val="Standard"/>
        <w:spacing w:line="400" w:lineRule="atLeast"/>
        <w:ind w:left="993"/>
        <w:rPr>
          <w:rFonts w:hint="eastAsia"/>
        </w:rPr>
      </w:pP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幼兒園規劃校外教學，應考量幼兒體能、氣候、交通狀況、環境衛生、安全及教學資源等，並應依下列規定為之：</w:t>
      </w:r>
    </w:p>
    <w:p w:rsidR="00BF60E0" w:rsidRDefault="00EC4B58">
      <w:pPr>
        <w:pStyle w:val="a8"/>
        <w:numPr>
          <w:ilvl w:val="0"/>
          <w:numId w:val="73"/>
        </w:numPr>
        <w:spacing w:line="400" w:lineRule="atLeast"/>
        <w:rPr>
          <w:rFonts w:ascii="標楷體" w:eastAsia="標楷體" w:hAnsi="標楷體" w:cs="細明體"/>
          <w:kern w:val="0"/>
          <w:sz w:val="28"/>
          <w:szCs w:val="28"/>
          <w:lang w:val="zh-TW"/>
        </w:rPr>
      </w:pPr>
      <w:r>
        <w:rPr>
          <w:rFonts w:ascii="標楷體" w:eastAsia="標楷體" w:hAnsi="標楷體" w:cs="細明體"/>
          <w:kern w:val="0"/>
          <w:sz w:val="28"/>
          <w:szCs w:val="28"/>
          <w:lang w:val="zh-TW"/>
        </w:rPr>
        <w:t>訂定實施計畫。</w:t>
      </w:r>
    </w:p>
    <w:p w:rsidR="00BF60E0" w:rsidRDefault="00EC4B58">
      <w:pPr>
        <w:pStyle w:val="a8"/>
        <w:numPr>
          <w:ilvl w:val="0"/>
          <w:numId w:val="65"/>
        </w:numPr>
        <w:spacing w:line="400" w:lineRule="atLeast"/>
        <w:rPr>
          <w:rFonts w:ascii="標楷體" w:eastAsia="標楷體" w:hAnsi="標楷體" w:cs="細明體"/>
          <w:kern w:val="0"/>
          <w:sz w:val="28"/>
          <w:szCs w:val="28"/>
          <w:lang w:val="zh-TW"/>
        </w:rPr>
      </w:pPr>
      <w:r>
        <w:rPr>
          <w:rFonts w:ascii="標楷體" w:eastAsia="標楷體" w:hAnsi="標楷體" w:cs="細明體"/>
          <w:kern w:val="0"/>
          <w:sz w:val="28"/>
          <w:szCs w:val="28"/>
          <w:lang w:val="zh-TW"/>
        </w:rPr>
        <w:t>事前勘察地點，規劃休憩場所及參觀路線。</w:t>
      </w:r>
    </w:p>
    <w:p w:rsidR="00BF60E0" w:rsidRDefault="00EC4B58">
      <w:pPr>
        <w:pStyle w:val="a8"/>
        <w:numPr>
          <w:ilvl w:val="0"/>
          <w:numId w:val="65"/>
        </w:numPr>
        <w:spacing w:line="400" w:lineRule="atLeast"/>
        <w:rPr>
          <w:rFonts w:ascii="標楷體" w:eastAsia="標楷體" w:hAnsi="標楷體" w:cs="細明體"/>
          <w:kern w:val="0"/>
          <w:sz w:val="28"/>
          <w:szCs w:val="28"/>
          <w:lang w:val="zh-TW"/>
        </w:rPr>
      </w:pPr>
      <w:r>
        <w:rPr>
          <w:rFonts w:ascii="標楷體" w:eastAsia="標楷體" w:hAnsi="標楷體" w:cs="細明體"/>
          <w:kern w:val="0"/>
          <w:sz w:val="28"/>
          <w:szCs w:val="28"/>
          <w:lang w:val="zh-TW"/>
        </w:rPr>
        <w:t>出發前及每次集合時應清點人數，並隨時留意幼兒健康及安全狀況。</w:t>
      </w:r>
    </w:p>
    <w:p w:rsidR="00BF60E0" w:rsidRDefault="00EC4B58">
      <w:pPr>
        <w:pStyle w:val="a8"/>
        <w:numPr>
          <w:ilvl w:val="0"/>
          <w:numId w:val="65"/>
        </w:numPr>
        <w:spacing w:line="400" w:lineRule="atLeast"/>
        <w:rPr>
          <w:rFonts w:ascii="標楷體" w:eastAsia="標楷體" w:hAnsi="標楷體" w:cs="細明體"/>
          <w:kern w:val="0"/>
          <w:sz w:val="28"/>
          <w:szCs w:val="28"/>
          <w:lang w:val="zh-TW"/>
        </w:rPr>
      </w:pPr>
      <w:r>
        <w:rPr>
          <w:rFonts w:ascii="標楷體" w:eastAsia="標楷體" w:hAnsi="標楷體" w:cs="細明體"/>
          <w:kern w:val="0"/>
          <w:sz w:val="28"/>
          <w:szCs w:val="28"/>
          <w:lang w:val="zh-TW"/>
        </w:rPr>
        <w:t>照顧者與三歲以上至入國民小學前之幼兒人數比例不得逾一比八；與二歲以上未滿三歲之幼兒人數比例不得逾一比三；對有特殊需求之幼兒，得安排幼兒之父母、監護人或實際照顧幼兒之人或志工一對</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隨行照顧。</w:t>
      </w:r>
    </w:p>
    <w:p w:rsidR="00BF60E0" w:rsidRDefault="00EC4B58">
      <w:pPr>
        <w:pStyle w:val="a8"/>
        <w:numPr>
          <w:ilvl w:val="0"/>
          <w:numId w:val="65"/>
        </w:numPr>
        <w:spacing w:line="400" w:lineRule="atLeast"/>
        <w:rPr>
          <w:rFonts w:ascii="標楷體" w:eastAsia="標楷體" w:hAnsi="標楷體" w:cs="細明體"/>
          <w:kern w:val="0"/>
          <w:sz w:val="28"/>
          <w:szCs w:val="28"/>
          <w:lang w:val="zh-TW"/>
        </w:rPr>
      </w:pPr>
      <w:r>
        <w:rPr>
          <w:rFonts w:ascii="標楷體" w:eastAsia="標楷體" w:hAnsi="標楷體" w:cs="細明體"/>
          <w:kern w:val="0"/>
          <w:sz w:val="28"/>
          <w:szCs w:val="28"/>
          <w:lang w:val="zh-TW"/>
        </w:rPr>
        <w:t>需乘車者，應備有幼兒之父母、監護人或實際照顧幼兒之人同意書；有租用車輛之必要時，應依相關規定辦理。</w:t>
      </w:r>
    </w:p>
    <w:p w:rsidR="00BF60E0" w:rsidRDefault="00EC4B58">
      <w:pPr>
        <w:pStyle w:val="Standard"/>
        <w:spacing w:line="400" w:lineRule="atLeast"/>
        <w:ind w:left="840" w:hanging="982"/>
        <w:rPr>
          <w:rFonts w:hint="eastAsia"/>
        </w:rPr>
      </w:pPr>
      <w:r>
        <w:rPr>
          <w:rFonts w:ascii="標楷體" w:eastAsia="標楷體" w:hAnsi="標楷體" w:cs="細明體"/>
          <w:bCs/>
          <w:kern w:val="0"/>
          <w:sz w:val="28"/>
          <w:szCs w:val="28"/>
          <w:lang w:val="zh-TW"/>
        </w:rPr>
        <w:t>第十六條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幼兒園活動室應設置多元學習區域，供幼兒自由探索。</w:t>
      </w:r>
    </w:p>
    <w:p w:rsidR="00BF60E0" w:rsidRDefault="00EC4B58">
      <w:pPr>
        <w:pStyle w:val="Standard"/>
        <w:spacing w:line="400" w:lineRule="atLeast"/>
        <w:ind w:left="979" w:firstLine="14"/>
        <w:rPr>
          <w:rFonts w:hint="eastAsia"/>
        </w:rPr>
      </w:pP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前項學習區域，應提供充足並適合各年齡層幼兒需求之材料、教具、玩具及圖書；其安全、衛生及品質應符合相關法規及中華民國國家標準規定。</w:t>
      </w:r>
    </w:p>
    <w:p w:rsidR="00BF60E0" w:rsidRDefault="00EC4B58">
      <w:pPr>
        <w:pStyle w:val="Standard"/>
        <w:spacing w:line="400" w:lineRule="atLeast"/>
        <w:ind w:left="1003" w:hanging="1077"/>
        <w:rPr>
          <w:rFonts w:hint="eastAsia"/>
        </w:rPr>
      </w:pPr>
      <w:r>
        <w:rPr>
          <w:rFonts w:ascii="標楷體" w:eastAsia="標楷體" w:hAnsi="標楷體" w:cs="細明體"/>
          <w:bCs/>
          <w:kern w:val="0"/>
          <w:sz w:val="28"/>
          <w:szCs w:val="28"/>
          <w:lang w:val="zh-TW"/>
        </w:rPr>
        <w:t>第十七條</w:t>
      </w:r>
      <w:r>
        <w:rPr>
          <w:rFonts w:ascii="標楷體" w:eastAsia="標楷體" w:hAnsi="標楷體"/>
          <w:b/>
          <w:color w:val="000000"/>
          <w:sz w:val="28"/>
          <w:szCs w:val="28"/>
        </w:rPr>
        <w:t xml:space="preserve">　　</w:t>
      </w:r>
      <w:r>
        <w:rPr>
          <w:rFonts w:ascii="標楷體" w:eastAsia="標楷體" w:hAnsi="標楷體" w:cs="細明體"/>
          <w:kern w:val="0"/>
          <w:sz w:val="28"/>
          <w:szCs w:val="28"/>
          <w:lang w:val="zh-TW"/>
        </w:rPr>
        <w:t>幼兒園二歲以上</w:t>
      </w:r>
      <w:r>
        <w:rPr>
          <w:rFonts w:ascii="標楷體" w:eastAsia="標楷體" w:hAnsi="標楷體" w:cs="細明體"/>
          <w:kern w:val="0"/>
          <w:sz w:val="28"/>
          <w:szCs w:val="28"/>
          <w:lang w:val="zh-TW"/>
        </w:rPr>
        <w:t>未滿三歲幼兒之室外活動，其空間或時間應與三歲以上幼兒區隔。</w:t>
      </w:r>
    </w:p>
    <w:p w:rsidR="00BF60E0" w:rsidRDefault="00EC4B58">
      <w:pPr>
        <w:pStyle w:val="Standard"/>
        <w:spacing w:line="400" w:lineRule="atLeast"/>
        <w:ind w:left="1060" w:hanging="1134"/>
        <w:rPr>
          <w:rFonts w:hint="eastAsia"/>
        </w:rPr>
      </w:pPr>
      <w:r>
        <w:rPr>
          <w:rFonts w:ascii="標楷體" w:eastAsia="標楷體" w:hAnsi="標楷體" w:cs="細明體"/>
          <w:bCs/>
          <w:kern w:val="0"/>
          <w:sz w:val="28"/>
          <w:szCs w:val="28"/>
          <w:lang w:val="zh-TW"/>
        </w:rPr>
        <w:t>第十八條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幼兒園應提供幼兒之父母、監護人或實際照顧幼兒之人教保活動課程及幼兒學習狀況之相關訊息。</w:t>
      </w:r>
    </w:p>
    <w:p w:rsidR="00BF60E0" w:rsidRDefault="00EC4B58">
      <w:pPr>
        <w:pStyle w:val="Standard"/>
        <w:spacing w:line="400" w:lineRule="atLeast"/>
        <w:ind w:left="1060" w:hanging="1134"/>
        <w:rPr>
          <w:rFonts w:hint="eastAsia"/>
        </w:rPr>
      </w:pPr>
      <w:r>
        <w:rPr>
          <w:rFonts w:ascii="標楷體" w:eastAsia="標楷體" w:hAnsi="標楷體" w:cs="Consolas"/>
          <w:iCs/>
          <w:color w:val="808080"/>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幼兒園應舉辦親職活動，並提供幼兒之父母、監護人或實際照顧幼兒之人教養相關資訊。</w:t>
      </w:r>
    </w:p>
    <w:p w:rsidR="00BF60E0" w:rsidRDefault="00EC4B58">
      <w:pPr>
        <w:pStyle w:val="Standard"/>
        <w:spacing w:line="400" w:lineRule="atLeast"/>
        <w:ind w:left="1060" w:hanging="1134"/>
        <w:rPr>
          <w:rFonts w:hint="eastAsia"/>
        </w:rPr>
      </w:pPr>
      <w:r>
        <w:rPr>
          <w:rFonts w:ascii="標楷體" w:eastAsia="標楷體" w:hAnsi="標楷體" w:cs="細明體"/>
          <w:bCs/>
          <w:kern w:val="0"/>
          <w:sz w:val="28"/>
          <w:szCs w:val="28"/>
          <w:lang w:val="zh-TW"/>
        </w:rPr>
        <w:t>第十九條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社區互助教保服務中心或部落互助教保服務中心之教保及照顧服務實施，</w:t>
      </w:r>
      <w:proofErr w:type="gramStart"/>
      <w:r>
        <w:rPr>
          <w:rFonts w:ascii="標楷體" w:eastAsia="標楷體" w:hAnsi="標楷體" w:cs="細明體"/>
          <w:color w:val="000000"/>
          <w:kern w:val="0"/>
          <w:sz w:val="28"/>
          <w:szCs w:val="28"/>
          <w:lang w:val="zh-TW"/>
        </w:rPr>
        <w:t>準</w:t>
      </w:r>
      <w:proofErr w:type="gramEnd"/>
      <w:r>
        <w:rPr>
          <w:rFonts w:ascii="標楷體" w:eastAsia="標楷體" w:hAnsi="標楷體" w:cs="細明體"/>
          <w:color w:val="000000"/>
          <w:kern w:val="0"/>
          <w:sz w:val="28"/>
          <w:szCs w:val="28"/>
          <w:lang w:val="zh-TW"/>
        </w:rPr>
        <w:t>用第二條、第三條、第五條、第六條第一項及第三項、第七條至第十五條規定。</w:t>
      </w:r>
    </w:p>
    <w:p w:rsidR="00BF60E0" w:rsidRDefault="00EC4B58">
      <w:pPr>
        <w:pStyle w:val="Standard"/>
        <w:spacing w:line="400" w:lineRule="atLeast"/>
        <w:ind w:left="1060" w:hanging="1134"/>
        <w:rPr>
          <w:rFonts w:hint="eastAsia"/>
        </w:rPr>
      </w:pPr>
      <w:r>
        <w:rPr>
          <w:rFonts w:ascii="標楷體" w:eastAsia="標楷體" w:hAnsi="標楷體" w:cs="細明體"/>
          <w:bCs/>
          <w:kern w:val="0"/>
          <w:sz w:val="28"/>
          <w:szCs w:val="28"/>
          <w:lang w:val="zh-TW"/>
        </w:rPr>
        <w:t xml:space="preserve">        </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職場互助教保服務中心之教保及照顧服務實施，</w:t>
      </w:r>
      <w:proofErr w:type="gramStart"/>
      <w:r>
        <w:rPr>
          <w:rFonts w:ascii="標楷體" w:eastAsia="標楷體" w:hAnsi="標楷體" w:cs="細明體"/>
          <w:color w:val="000000"/>
          <w:kern w:val="0"/>
          <w:sz w:val="28"/>
          <w:szCs w:val="28"/>
          <w:lang w:val="zh-TW"/>
        </w:rPr>
        <w:t>準</w:t>
      </w:r>
      <w:proofErr w:type="gramEnd"/>
      <w:r>
        <w:rPr>
          <w:rFonts w:ascii="標楷體" w:eastAsia="標楷體" w:hAnsi="標楷體" w:cs="細明體"/>
          <w:color w:val="000000"/>
          <w:kern w:val="0"/>
          <w:sz w:val="28"/>
          <w:szCs w:val="28"/>
          <w:lang w:val="zh-TW"/>
        </w:rPr>
        <w:t>用第二條、第三條、第七條至第十一條、第</w:t>
      </w:r>
      <w:r>
        <w:rPr>
          <w:rFonts w:ascii="標楷體" w:eastAsia="標楷體" w:hAnsi="標楷體" w:cs="細明體"/>
          <w:color w:val="000000"/>
          <w:kern w:val="0"/>
          <w:sz w:val="28"/>
          <w:szCs w:val="28"/>
          <w:lang w:val="zh-TW"/>
        </w:rPr>
        <w:t>十三條至第十五條及前條規定。</w:t>
      </w:r>
    </w:p>
    <w:p w:rsidR="00BF60E0" w:rsidRDefault="00EC4B58">
      <w:pPr>
        <w:pStyle w:val="Standard"/>
        <w:spacing w:line="400" w:lineRule="atLeast"/>
        <w:rPr>
          <w:rFonts w:hint="eastAsia"/>
        </w:rPr>
      </w:pPr>
      <w:r>
        <w:rPr>
          <w:rFonts w:ascii="標楷體" w:eastAsia="標楷體" w:hAnsi="標楷體" w:cs="細明體"/>
          <w:bCs/>
          <w:kern w:val="0"/>
          <w:sz w:val="28"/>
          <w:szCs w:val="28"/>
          <w:lang w:val="zh-TW"/>
        </w:rPr>
        <w:t>第二十條</w:t>
      </w:r>
      <w:r>
        <w:rPr>
          <w:rFonts w:ascii="標楷體" w:eastAsia="標楷體" w:hAnsi="標楷體"/>
          <w:b/>
          <w:color w:val="000000"/>
          <w:sz w:val="28"/>
          <w:szCs w:val="28"/>
        </w:rPr>
        <w:t xml:space="preserve">　　</w:t>
      </w:r>
      <w:r>
        <w:rPr>
          <w:rFonts w:ascii="標楷體" w:eastAsia="標楷體" w:hAnsi="標楷體" w:cs="細明體"/>
          <w:color w:val="000000"/>
          <w:kern w:val="0"/>
          <w:sz w:val="28"/>
          <w:szCs w:val="28"/>
          <w:lang w:val="zh-TW"/>
        </w:rPr>
        <w:t>本準則自發布日施行。</w:t>
      </w:r>
    </w:p>
    <w:sectPr w:rsidR="00BF60E0">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58" w:rsidRDefault="00EC4B58">
      <w:pPr>
        <w:rPr>
          <w:rFonts w:hint="eastAsia"/>
        </w:rPr>
      </w:pPr>
      <w:r>
        <w:separator/>
      </w:r>
    </w:p>
  </w:endnote>
  <w:endnote w:type="continuationSeparator" w:id="0">
    <w:p w:rsidR="00EC4B58" w:rsidRDefault="00EC4B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MingLiU">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58" w:rsidRDefault="00EC4B58">
      <w:pPr>
        <w:rPr>
          <w:rFonts w:hint="eastAsia"/>
        </w:rPr>
      </w:pPr>
      <w:r>
        <w:rPr>
          <w:color w:val="000000"/>
        </w:rPr>
        <w:separator/>
      </w:r>
    </w:p>
  </w:footnote>
  <w:footnote w:type="continuationSeparator" w:id="0">
    <w:p w:rsidR="00EC4B58" w:rsidRDefault="00EC4B5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F8D"/>
    <w:multiLevelType w:val="multilevel"/>
    <w:tmpl w:val="77A2ED9C"/>
    <w:styleLink w:val="WWNum46"/>
    <w:lvl w:ilvl="0">
      <w:start w:val="1"/>
      <w:numFmt w:val="japaneseCounting"/>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 w15:restartNumberingAfterBreak="0">
    <w:nsid w:val="02896CEA"/>
    <w:multiLevelType w:val="multilevel"/>
    <w:tmpl w:val="571A149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935FB8"/>
    <w:multiLevelType w:val="multilevel"/>
    <w:tmpl w:val="C6508E0C"/>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977CC4"/>
    <w:multiLevelType w:val="multilevel"/>
    <w:tmpl w:val="6DDC231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48A6141"/>
    <w:multiLevelType w:val="multilevel"/>
    <w:tmpl w:val="9814D310"/>
    <w:styleLink w:val="WWNum42"/>
    <w:lvl w:ilvl="0">
      <w:start w:val="1"/>
      <w:numFmt w:val="japaneseCounting"/>
      <w:lvlText w:val="%1、"/>
      <w:lvlJc w:val="left"/>
      <w:pPr>
        <w:ind w:left="1980" w:hanging="72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5" w15:restartNumberingAfterBreak="0">
    <w:nsid w:val="05A36141"/>
    <w:multiLevelType w:val="multilevel"/>
    <w:tmpl w:val="A0685AA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835EC4"/>
    <w:multiLevelType w:val="multilevel"/>
    <w:tmpl w:val="AA7620B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9A3CFF"/>
    <w:multiLevelType w:val="multilevel"/>
    <w:tmpl w:val="A280A67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9F107E0"/>
    <w:multiLevelType w:val="multilevel"/>
    <w:tmpl w:val="B1F0D91A"/>
    <w:styleLink w:val="WWNum29"/>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15:restartNumberingAfterBreak="0">
    <w:nsid w:val="0EC42825"/>
    <w:multiLevelType w:val="multilevel"/>
    <w:tmpl w:val="B65A33C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0524777"/>
    <w:multiLevelType w:val="multilevel"/>
    <w:tmpl w:val="B9428DB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27660ED"/>
    <w:multiLevelType w:val="multilevel"/>
    <w:tmpl w:val="45507058"/>
    <w:styleLink w:val="WWNum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2" w15:restartNumberingAfterBreak="0">
    <w:nsid w:val="15046171"/>
    <w:multiLevelType w:val="multilevel"/>
    <w:tmpl w:val="0AC4743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C004E9"/>
    <w:multiLevelType w:val="multilevel"/>
    <w:tmpl w:val="208AB702"/>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ED3C39"/>
    <w:multiLevelType w:val="multilevel"/>
    <w:tmpl w:val="356257B6"/>
    <w:styleLink w:val="WWNum27"/>
    <w:lvl w:ilvl="0">
      <w:start w:val="1"/>
      <w:numFmt w:val="decimal"/>
      <w:lvlText w:val="%1、"/>
      <w:lvlJc w:val="left"/>
      <w:pPr>
        <w:ind w:left="504" w:hanging="504"/>
      </w:pPr>
      <w:rPr>
        <w:rFonts w:eastAsia="標楷體" w:cs="Times New Roman"/>
      </w:r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5" w15:restartNumberingAfterBreak="0">
    <w:nsid w:val="19FB600B"/>
    <w:multiLevelType w:val="multilevel"/>
    <w:tmpl w:val="A416754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CD3030"/>
    <w:multiLevelType w:val="multilevel"/>
    <w:tmpl w:val="D3E827AC"/>
    <w:styleLink w:val="WWNum35"/>
    <w:lvl w:ilvl="0">
      <w:start w:val="1"/>
      <w:numFmt w:val="decimal"/>
      <w:lvlText w:val="%1、"/>
      <w:lvlJc w:val="left"/>
      <w:pPr>
        <w:ind w:left="480" w:hanging="480"/>
      </w:pPr>
      <w:rPr>
        <w:color w:val="00000A"/>
      </w:rPr>
    </w:lvl>
    <w:lvl w:ilvl="1">
      <w:start w:val="1"/>
      <w:numFmt w:val="decimal"/>
      <w:lvlText w:val="（%2）"/>
      <w:lvlJc w:val="left"/>
      <w:pPr>
        <w:ind w:left="1560" w:hanging="1080"/>
      </w:pPr>
      <w:rPr>
        <w:b/>
        <w:color w:val="00000A"/>
      </w:rPr>
    </w:lvl>
    <w:lvl w:ilvl="2">
      <w:start w:val="1"/>
      <w:numFmt w:val="decimal"/>
      <w:lvlText w:val="%1.%2.%3."/>
      <w:lvlJc w:val="left"/>
      <w:pPr>
        <w:ind w:left="1320" w:hanging="360"/>
      </w:pPr>
    </w:lvl>
    <w:lvl w:ilvl="3">
      <w:start w:val="1"/>
      <w:numFmt w:val="lowerLetter"/>
      <w:lvlText w:val="(%1.%2.%3.%4)"/>
      <w:lvlJc w:val="left"/>
      <w:pPr>
        <w:ind w:left="2160" w:hanging="720"/>
      </w:pPr>
    </w:lvl>
    <w:lvl w:ilvl="4">
      <w:start w:val="1"/>
      <w:numFmt w:val="decimal"/>
      <w:lvlText w:val="(%1.%2.%3.%4.%5)"/>
      <w:lvlJc w:val="left"/>
      <w:pPr>
        <w:ind w:left="2640" w:hanging="720"/>
      </w:pPr>
      <w:rPr>
        <w:rFonts w:eastAsia="標楷體"/>
      </w:r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15:restartNumberingAfterBreak="0">
    <w:nsid w:val="1DE224C2"/>
    <w:multiLevelType w:val="multilevel"/>
    <w:tmpl w:val="B824B28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1D04ED"/>
    <w:multiLevelType w:val="multilevel"/>
    <w:tmpl w:val="74649E62"/>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F22F03"/>
    <w:multiLevelType w:val="multilevel"/>
    <w:tmpl w:val="91BC627C"/>
    <w:styleLink w:val="WWNum47"/>
    <w:lvl w:ilvl="0">
      <w:start w:val="1"/>
      <w:numFmt w:val="japaneseCounting"/>
      <w:lvlText w:val="%1、"/>
      <w:lvlJc w:val="left"/>
      <w:pPr>
        <w:ind w:left="2421" w:hanging="72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0" w15:restartNumberingAfterBreak="0">
    <w:nsid w:val="20F51856"/>
    <w:multiLevelType w:val="multilevel"/>
    <w:tmpl w:val="9AFA0D66"/>
    <w:styleLink w:val="WWNum33"/>
    <w:lvl w:ilvl="0">
      <w:start w:val="1"/>
      <w:numFmt w:val="upperLetter"/>
      <w:lvlText w:val="%1."/>
      <w:lvlJc w:val="left"/>
      <w:pPr>
        <w:ind w:left="2628" w:hanging="360"/>
      </w:pPr>
      <w:rPr>
        <w:b/>
        <w:u w:val="none"/>
      </w:rPr>
    </w:lvl>
    <w:lvl w:ilvl="1">
      <w:start w:val="1"/>
      <w:numFmt w:val="ideographTraditional"/>
      <w:lvlText w:val="%2、"/>
      <w:lvlJc w:val="left"/>
      <w:pPr>
        <w:ind w:left="3228" w:hanging="480"/>
      </w:pPr>
    </w:lvl>
    <w:lvl w:ilvl="2">
      <w:start w:val="1"/>
      <w:numFmt w:val="lowerRoman"/>
      <w:lvlText w:val="%1.%2.%3."/>
      <w:lvlJc w:val="right"/>
      <w:pPr>
        <w:ind w:left="3708" w:hanging="480"/>
      </w:pPr>
    </w:lvl>
    <w:lvl w:ilvl="3">
      <w:start w:val="1"/>
      <w:numFmt w:val="decimal"/>
      <w:lvlText w:val="%1.%2.%3.%4."/>
      <w:lvlJc w:val="left"/>
      <w:pPr>
        <w:ind w:left="4188" w:hanging="480"/>
      </w:pPr>
    </w:lvl>
    <w:lvl w:ilvl="4">
      <w:start w:val="1"/>
      <w:numFmt w:val="ideographTraditional"/>
      <w:lvlText w:val="%1.%2.%3.%4.%5、"/>
      <w:lvlJc w:val="left"/>
      <w:pPr>
        <w:ind w:left="4668" w:hanging="480"/>
      </w:pPr>
    </w:lvl>
    <w:lvl w:ilvl="5">
      <w:start w:val="1"/>
      <w:numFmt w:val="lowerRoman"/>
      <w:lvlText w:val="%1.%2.%3.%4.%5.%6."/>
      <w:lvlJc w:val="right"/>
      <w:pPr>
        <w:ind w:left="5148" w:hanging="480"/>
      </w:pPr>
    </w:lvl>
    <w:lvl w:ilvl="6">
      <w:start w:val="1"/>
      <w:numFmt w:val="decimal"/>
      <w:lvlText w:val="%1.%2.%3.%4.%5.%6.%7."/>
      <w:lvlJc w:val="left"/>
      <w:pPr>
        <w:ind w:left="5628" w:hanging="480"/>
      </w:pPr>
    </w:lvl>
    <w:lvl w:ilvl="7">
      <w:start w:val="1"/>
      <w:numFmt w:val="ideographTraditional"/>
      <w:lvlText w:val="%1.%2.%3.%4.%5.%6.%7.%8、"/>
      <w:lvlJc w:val="left"/>
      <w:pPr>
        <w:ind w:left="6108" w:hanging="480"/>
      </w:pPr>
    </w:lvl>
    <w:lvl w:ilvl="8">
      <w:start w:val="1"/>
      <w:numFmt w:val="lowerRoman"/>
      <w:lvlText w:val="%1.%2.%3.%4.%5.%6.%7.%8.%9."/>
      <w:lvlJc w:val="right"/>
      <w:pPr>
        <w:ind w:left="6588" w:hanging="480"/>
      </w:pPr>
    </w:lvl>
  </w:abstractNum>
  <w:abstractNum w:abstractNumId="21" w15:restartNumberingAfterBreak="0">
    <w:nsid w:val="231D389C"/>
    <w:multiLevelType w:val="multilevel"/>
    <w:tmpl w:val="EF0AD99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35E0A14"/>
    <w:multiLevelType w:val="multilevel"/>
    <w:tmpl w:val="B5643B7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741525"/>
    <w:multiLevelType w:val="multilevel"/>
    <w:tmpl w:val="CBD6497A"/>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00655"/>
    <w:multiLevelType w:val="multilevel"/>
    <w:tmpl w:val="4FBEB9C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DB24439"/>
    <w:multiLevelType w:val="multilevel"/>
    <w:tmpl w:val="ED4C26F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EB50CEC"/>
    <w:multiLevelType w:val="multilevel"/>
    <w:tmpl w:val="EB0EFEC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F4C3B6A"/>
    <w:multiLevelType w:val="multilevel"/>
    <w:tmpl w:val="1F64B804"/>
    <w:styleLink w:val="WWNum28"/>
    <w:lvl w:ilvl="0">
      <w:start w:val="1"/>
      <w:numFmt w:val="decimal"/>
      <w:lvlText w:val="%1、"/>
      <w:lvlJc w:val="left"/>
      <w:pPr>
        <w:ind w:left="516" w:hanging="480"/>
      </w:pPr>
    </w:lvl>
    <w:lvl w:ilvl="1">
      <w:start w:val="1"/>
      <w:numFmt w:val="ideographTraditional"/>
      <w:lvlText w:val="%2、"/>
      <w:lvlJc w:val="left"/>
      <w:pPr>
        <w:ind w:left="996" w:hanging="480"/>
      </w:pPr>
    </w:lvl>
    <w:lvl w:ilvl="2">
      <w:start w:val="1"/>
      <w:numFmt w:val="lowerRoman"/>
      <w:lvlText w:val="%1.%2.%3."/>
      <w:lvlJc w:val="right"/>
      <w:pPr>
        <w:ind w:left="1476" w:hanging="480"/>
      </w:pPr>
    </w:lvl>
    <w:lvl w:ilvl="3">
      <w:start w:val="1"/>
      <w:numFmt w:val="decimal"/>
      <w:lvlText w:val="%1.%2.%3.%4."/>
      <w:lvlJc w:val="left"/>
      <w:pPr>
        <w:ind w:left="1956" w:hanging="480"/>
      </w:pPr>
    </w:lvl>
    <w:lvl w:ilvl="4">
      <w:start w:val="1"/>
      <w:numFmt w:val="ideographTraditional"/>
      <w:lvlText w:val="%1.%2.%3.%4.%5、"/>
      <w:lvlJc w:val="left"/>
      <w:pPr>
        <w:ind w:left="2436" w:hanging="480"/>
      </w:pPr>
    </w:lvl>
    <w:lvl w:ilvl="5">
      <w:start w:val="1"/>
      <w:numFmt w:val="lowerRoman"/>
      <w:lvlText w:val="%1.%2.%3.%4.%5.%6."/>
      <w:lvlJc w:val="right"/>
      <w:pPr>
        <w:ind w:left="2916" w:hanging="480"/>
      </w:pPr>
    </w:lvl>
    <w:lvl w:ilvl="6">
      <w:start w:val="1"/>
      <w:numFmt w:val="decimal"/>
      <w:lvlText w:val="%1.%2.%3.%4.%5.%6.%7."/>
      <w:lvlJc w:val="left"/>
      <w:pPr>
        <w:ind w:left="3396" w:hanging="480"/>
      </w:pPr>
    </w:lvl>
    <w:lvl w:ilvl="7">
      <w:start w:val="1"/>
      <w:numFmt w:val="ideographTraditional"/>
      <w:lvlText w:val="%1.%2.%3.%4.%5.%6.%7.%8、"/>
      <w:lvlJc w:val="left"/>
      <w:pPr>
        <w:ind w:left="3876" w:hanging="480"/>
      </w:pPr>
    </w:lvl>
    <w:lvl w:ilvl="8">
      <w:start w:val="1"/>
      <w:numFmt w:val="lowerRoman"/>
      <w:lvlText w:val="%1.%2.%3.%4.%5.%6.%7.%8.%9."/>
      <w:lvlJc w:val="right"/>
      <w:pPr>
        <w:ind w:left="4356" w:hanging="480"/>
      </w:pPr>
    </w:lvl>
  </w:abstractNum>
  <w:abstractNum w:abstractNumId="28" w15:restartNumberingAfterBreak="0">
    <w:nsid w:val="302D5CE4"/>
    <w:multiLevelType w:val="multilevel"/>
    <w:tmpl w:val="E2104060"/>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1165F13"/>
    <w:multiLevelType w:val="multilevel"/>
    <w:tmpl w:val="6D4EB3CC"/>
    <w:styleLink w:val="WWNum41"/>
    <w:lvl w:ilvl="0">
      <w:start w:val="1"/>
      <w:numFmt w:val="japaneseCounting"/>
      <w:lvlText w:val="%1、"/>
      <w:lvlJc w:val="left"/>
      <w:pPr>
        <w:ind w:left="2847" w:hanging="72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30" w15:restartNumberingAfterBreak="0">
    <w:nsid w:val="312A4B3F"/>
    <w:multiLevelType w:val="multilevel"/>
    <w:tmpl w:val="E3BE6FEA"/>
    <w:styleLink w:val="WWNum30"/>
    <w:lvl w:ilvl="0">
      <w:start w:val="1"/>
      <w:numFmt w:val="decimal"/>
      <w:lvlText w:val="%1、"/>
      <w:lvlJc w:val="left"/>
      <w:pPr>
        <w:ind w:left="504" w:hanging="504"/>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1" w15:restartNumberingAfterBreak="0">
    <w:nsid w:val="348C2445"/>
    <w:multiLevelType w:val="multilevel"/>
    <w:tmpl w:val="2BE2DFE6"/>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5D902E6"/>
    <w:multiLevelType w:val="multilevel"/>
    <w:tmpl w:val="B204B9C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7824148"/>
    <w:multiLevelType w:val="multilevel"/>
    <w:tmpl w:val="3A38C13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39787902"/>
    <w:multiLevelType w:val="multilevel"/>
    <w:tmpl w:val="4D6CAF1A"/>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9C044F2"/>
    <w:multiLevelType w:val="multilevel"/>
    <w:tmpl w:val="9110B57C"/>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B876DAB"/>
    <w:multiLevelType w:val="multilevel"/>
    <w:tmpl w:val="F03CE6D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D9130B8"/>
    <w:multiLevelType w:val="multilevel"/>
    <w:tmpl w:val="7D02240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E452118"/>
    <w:multiLevelType w:val="multilevel"/>
    <w:tmpl w:val="81D8E070"/>
    <w:styleLink w:val="WWNum36"/>
    <w:lvl w:ilvl="0">
      <w:start w:val="2"/>
      <w:numFmt w:val="decimal"/>
      <w:lvlText w:val="（%1）"/>
      <w:lvlJc w:val="left"/>
      <w:pPr>
        <w:ind w:left="828" w:hanging="828"/>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9" w15:restartNumberingAfterBreak="0">
    <w:nsid w:val="3F445922"/>
    <w:multiLevelType w:val="multilevel"/>
    <w:tmpl w:val="7F4C03FC"/>
    <w:styleLink w:val="WWNum34"/>
    <w:lvl w:ilvl="0">
      <w:start w:val="1"/>
      <w:numFmt w:val="decimal"/>
      <w:lvlText w:val="(%1)"/>
      <w:lvlJc w:val="left"/>
      <w:pPr>
        <w:ind w:left="2278" w:hanging="720"/>
      </w:pPr>
    </w:lvl>
    <w:lvl w:ilvl="1">
      <w:start w:val="1"/>
      <w:numFmt w:val="ideographTraditional"/>
      <w:lvlText w:val="%2、"/>
      <w:lvlJc w:val="left"/>
      <w:pPr>
        <w:ind w:left="2518" w:hanging="480"/>
      </w:pPr>
    </w:lvl>
    <w:lvl w:ilvl="2">
      <w:start w:val="1"/>
      <w:numFmt w:val="lowerRoman"/>
      <w:lvlText w:val="%1.%2.%3."/>
      <w:lvlJc w:val="right"/>
      <w:pPr>
        <w:ind w:left="2998" w:hanging="480"/>
      </w:pPr>
    </w:lvl>
    <w:lvl w:ilvl="3">
      <w:start w:val="1"/>
      <w:numFmt w:val="decimal"/>
      <w:lvlText w:val="%1.%2.%3.%4."/>
      <w:lvlJc w:val="left"/>
      <w:pPr>
        <w:ind w:left="3478" w:hanging="480"/>
      </w:pPr>
    </w:lvl>
    <w:lvl w:ilvl="4">
      <w:start w:val="1"/>
      <w:numFmt w:val="ideographTraditional"/>
      <w:lvlText w:val="%1.%2.%3.%4.%5、"/>
      <w:lvlJc w:val="left"/>
      <w:pPr>
        <w:ind w:left="3958" w:hanging="480"/>
      </w:pPr>
    </w:lvl>
    <w:lvl w:ilvl="5">
      <w:start w:val="1"/>
      <w:numFmt w:val="lowerRoman"/>
      <w:lvlText w:val="%1.%2.%3.%4.%5.%6."/>
      <w:lvlJc w:val="right"/>
      <w:pPr>
        <w:ind w:left="4438" w:hanging="480"/>
      </w:pPr>
    </w:lvl>
    <w:lvl w:ilvl="6">
      <w:start w:val="1"/>
      <w:numFmt w:val="decimal"/>
      <w:lvlText w:val="%1.%2.%3.%4.%5.%6.%7."/>
      <w:lvlJc w:val="left"/>
      <w:pPr>
        <w:ind w:left="4918" w:hanging="480"/>
      </w:pPr>
    </w:lvl>
    <w:lvl w:ilvl="7">
      <w:start w:val="1"/>
      <w:numFmt w:val="ideographTraditional"/>
      <w:lvlText w:val="%1.%2.%3.%4.%5.%6.%7.%8、"/>
      <w:lvlJc w:val="left"/>
      <w:pPr>
        <w:ind w:left="5398" w:hanging="480"/>
      </w:pPr>
    </w:lvl>
    <w:lvl w:ilvl="8">
      <w:start w:val="1"/>
      <w:numFmt w:val="lowerRoman"/>
      <w:lvlText w:val="%1.%2.%3.%4.%5.%6.%7.%8.%9."/>
      <w:lvlJc w:val="right"/>
      <w:pPr>
        <w:ind w:left="5878" w:hanging="480"/>
      </w:pPr>
    </w:lvl>
  </w:abstractNum>
  <w:abstractNum w:abstractNumId="40" w15:restartNumberingAfterBreak="0">
    <w:nsid w:val="41396A8E"/>
    <w:multiLevelType w:val="multilevel"/>
    <w:tmpl w:val="0B1EFC36"/>
    <w:styleLink w:val="WWNum26"/>
    <w:lvl w:ilvl="0">
      <w:start w:val="1"/>
      <w:numFmt w:val="decimal"/>
      <w:lvlText w:val="%1."/>
      <w:lvlJc w:val="left"/>
      <w:pPr>
        <w:ind w:left="2038" w:hanging="480"/>
      </w:pPr>
      <w:rPr>
        <w:b w:val="0"/>
      </w:rPr>
    </w:lvl>
    <w:lvl w:ilvl="1">
      <w:start w:val="1"/>
      <w:numFmt w:val="ideographTraditional"/>
      <w:lvlText w:val="%2、"/>
      <w:lvlJc w:val="left"/>
      <w:pPr>
        <w:ind w:left="2518" w:hanging="480"/>
      </w:pPr>
    </w:lvl>
    <w:lvl w:ilvl="2">
      <w:start w:val="1"/>
      <w:numFmt w:val="lowerRoman"/>
      <w:lvlText w:val="%1.%2.%3."/>
      <w:lvlJc w:val="right"/>
      <w:pPr>
        <w:ind w:left="2998" w:hanging="480"/>
      </w:pPr>
    </w:lvl>
    <w:lvl w:ilvl="3">
      <w:start w:val="1"/>
      <w:numFmt w:val="decimal"/>
      <w:lvlText w:val="%1.%2.%3.%4."/>
      <w:lvlJc w:val="left"/>
      <w:pPr>
        <w:ind w:left="3478" w:hanging="480"/>
      </w:pPr>
    </w:lvl>
    <w:lvl w:ilvl="4">
      <w:start w:val="1"/>
      <w:numFmt w:val="ideographTraditional"/>
      <w:lvlText w:val="%1.%2.%3.%4.%5、"/>
      <w:lvlJc w:val="left"/>
      <w:pPr>
        <w:ind w:left="3958" w:hanging="480"/>
      </w:pPr>
    </w:lvl>
    <w:lvl w:ilvl="5">
      <w:start w:val="1"/>
      <w:numFmt w:val="lowerRoman"/>
      <w:lvlText w:val="%1.%2.%3.%4.%5.%6."/>
      <w:lvlJc w:val="right"/>
      <w:pPr>
        <w:ind w:left="4438" w:hanging="480"/>
      </w:pPr>
    </w:lvl>
    <w:lvl w:ilvl="6">
      <w:start w:val="1"/>
      <w:numFmt w:val="decimal"/>
      <w:lvlText w:val="%1.%2.%3.%4.%5.%6.%7."/>
      <w:lvlJc w:val="left"/>
      <w:pPr>
        <w:ind w:left="4918" w:hanging="480"/>
      </w:pPr>
    </w:lvl>
    <w:lvl w:ilvl="7">
      <w:start w:val="1"/>
      <w:numFmt w:val="ideographTraditional"/>
      <w:lvlText w:val="%1.%2.%3.%4.%5.%6.%7.%8、"/>
      <w:lvlJc w:val="left"/>
      <w:pPr>
        <w:ind w:left="5398" w:hanging="480"/>
      </w:pPr>
    </w:lvl>
    <w:lvl w:ilvl="8">
      <w:start w:val="1"/>
      <w:numFmt w:val="lowerRoman"/>
      <w:lvlText w:val="%1.%2.%3.%4.%5.%6.%7.%8.%9."/>
      <w:lvlJc w:val="right"/>
      <w:pPr>
        <w:ind w:left="5878" w:hanging="480"/>
      </w:pPr>
    </w:lvl>
  </w:abstractNum>
  <w:abstractNum w:abstractNumId="41" w15:restartNumberingAfterBreak="0">
    <w:nsid w:val="487C080F"/>
    <w:multiLevelType w:val="multilevel"/>
    <w:tmpl w:val="93E05F04"/>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98A7CC4"/>
    <w:multiLevelType w:val="multilevel"/>
    <w:tmpl w:val="79B8171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B78035A"/>
    <w:multiLevelType w:val="multilevel"/>
    <w:tmpl w:val="9ED6E90A"/>
    <w:styleLink w:val="WWNum43"/>
    <w:lvl w:ilvl="0">
      <w:start w:val="1"/>
      <w:numFmt w:val="japaneseCounting"/>
      <w:lvlText w:val="%1、"/>
      <w:lvlJc w:val="left"/>
      <w:pPr>
        <w:ind w:left="2271" w:hanging="57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4" w15:restartNumberingAfterBreak="0">
    <w:nsid w:val="4C5467C0"/>
    <w:multiLevelType w:val="multilevel"/>
    <w:tmpl w:val="0750D196"/>
    <w:styleLink w:val="WWNum45"/>
    <w:lvl w:ilvl="0">
      <w:start w:val="1"/>
      <w:numFmt w:val="japaneseCounting"/>
      <w:lvlText w:val="%1、"/>
      <w:lvlJc w:val="left"/>
      <w:pPr>
        <w:ind w:left="2130" w:hanging="57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45" w15:restartNumberingAfterBreak="0">
    <w:nsid w:val="4C9A6EA3"/>
    <w:multiLevelType w:val="multilevel"/>
    <w:tmpl w:val="467A36B0"/>
    <w:styleLink w:val="WWNum25"/>
    <w:lvl w:ilvl="0">
      <w:start w:val="1"/>
      <w:numFmt w:val="decimal"/>
      <w:lvlText w:val="%1、"/>
      <w:lvlJc w:val="left"/>
      <w:pPr>
        <w:ind w:left="480" w:hanging="480"/>
      </w:pPr>
      <w:rPr>
        <w:color w:val="00000A"/>
      </w:rPr>
    </w:lvl>
    <w:lvl w:ilvl="1">
      <w:start w:val="1"/>
      <w:numFmt w:val="decimal"/>
      <w:lvlText w:val="（%2）"/>
      <w:lvlJc w:val="left"/>
      <w:pPr>
        <w:ind w:left="1560" w:hanging="1080"/>
      </w:pPr>
      <w:rPr>
        <w:b/>
        <w:color w:val="00000A"/>
        <w:lang w:val="en-US"/>
      </w:rPr>
    </w:lvl>
    <w:lvl w:ilvl="2">
      <w:start w:val="1"/>
      <w:numFmt w:val="decimal"/>
      <w:lvlText w:val="（%1.%2.%3）"/>
      <w:lvlJc w:val="left"/>
      <w:pPr>
        <w:ind w:left="1320" w:hanging="360"/>
      </w:pPr>
      <w:rPr>
        <w:rFonts w:eastAsia="標楷體" w:cs="Times New Roman"/>
        <w:strike w:val="0"/>
        <w:dstrike w:val="0"/>
        <w:color w:val="000000"/>
      </w:rPr>
    </w:lvl>
    <w:lvl w:ilvl="3">
      <w:start w:val="1"/>
      <w:numFmt w:val="lowerLetter"/>
      <w:lvlText w:val="(%1.%2.%3.%4)"/>
      <w:lvlJc w:val="left"/>
      <w:pPr>
        <w:ind w:left="2160" w:hanging="720"/>
      </w:pPr>
    </w:lvl>
    <w:lvl w:ilvl="4">
      <w:start w:val="1"/>
      <w:numFmt w:val="decimal"/>
      <w:lvlText w:val="（%1.%2.%3.%4.%5）"/>
      <w:lvlJc w:val="left"/>
      <w:pPr>
        <w:ind w:left="2640" w:hanging="72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6" w15:restartNumberingAfterBreak="0">
    <w:nsid w:val="4D7A13ED"/>
    <w:multiLevelType w:val="multilevel"/>
    <w:tmpl w:val="51A0EF86"/>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32D330C"/>
    <w:multiLevelType w:val="multilevel"/>
    <w:tmpl w:val="0D9A508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5AC5E82"/>
    <w:multiLevelType w:val="multilevel"/>
    <w:tmpl w:val="BAB2C334"/>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5DF183E"/>
    <w:multiLevelType w:val="multilevel"/>
    <w:tmpl w:val="85B4D910"/>
    <w:styleLink w:val="WWNum37"/>
    <w:lvl w:ilvl="0">
      <w:start w:val="1"/>
      <w:numFmt w:val="decimal"/>
      <w:lvlText w:val="（%1）"/>
      <w:lvlJc w:val="left"/>
      <w:pPr>
        <w:ind w:left="828" w:hanging="828"/>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0" w15:restartNumberingAfterBreak="0">
    <w:nsid w:val="56D03C9F"/>
    <w:multiLevelType w:val="multilevel"/>
    <w:tmpl w:val="CC9069B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AAE04FF"/>
    <w:multiLevelType w:val="multilevel"/>
    <w:tmpl w:val="A1942256"/>
    <w:styleLink w:val="WWNum44"/>
    <w:lvl w:ilvl="0">
      <w:start w:val="1"/>
      <w:numFmt w:val="japaneseCounting"/>
      <w:lvlText w:val="%1、"/>
      <w:lvlJc w:val="left"/>
      <w:pPr>
        <w:ind w:left="2271" w:hanging="57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52" w15:restartNumberingAfterBreak="0">
    <w:nsid w:val="5ADF6438"/>
    <w:multiLevelType w:val="multilevel"/>
    <w:tmpl w:val="02B64AD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EC9070B"/>
    <w:multiLevelType w:val="multilevel"/>
    <w:tmpl w:val="A3CEBCA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F0B74F5"/>
    <w:multiLevelType w:val="multilevel"/>
    <w:tmpl w:val="5A34F230"/>
    <w:styleLink w:val="WWNum39"/>
    <w:lvl w:ilvl="0">
      <w:start w:val="1"/>
      <w:numFmt w:val="japaneseCounting"/>
      <w:lvlText w:val="%1、"/>
      <w:lvlJc w:val="left"/>
      <w:pPr>
        <w:ind w:left="2847" w:hanging="72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55" w15:restartNumberingAfterBreak="0">
    <w:nsid w:val="5FBA3D9A"/>
    <w:multiLevelType w:val="multilevel"/>
    <w:tmpl w:val="01F8E8A4"/>
    <w:styleLink w:val="WWNum24"/>
    <w:lvl w:ilvl="0">
      <w:start w:val="2"/>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6" w15:restartNumberingAfterBreak="0">
    <w:nsid w:val="60FB3EE3"/>
    <w:multiLevelType w:val="multilevel"/>
    <w:tmpl w:val="92206EAE"/>
    <w:styleLink w:val="WWNum40"/>
    <w:lvl w:ilvl="0">
      <w:start w:val="1"/>
      <w:numFmt w:val="japaneseCounting"/>
      <w:lvlText w:val="%1、"/>
      <w:lvlJc w:val="left"/>
      <w:pPr>
        <w:ind w:left="2421" w:hanging="72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57" w15:restartNumberingAfterBreak="0">
    <w:nsid w:val="61FE24AC"/>
    <w:multiLevelType w:val="multilevel"/>
    <w:tmpl w:val="47F8514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2121706"/>
    <w:multiLevelType w:val="multilevel"/>
    <w:tmpl w:val="FE42E8BE"/>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3660E33"/>
    <w:multiLevelType w:val="multilevel"/>
    <w:tmpl w:val="EDF67698"/>
    <w:styleLink w:val="WWNum31"/>
    <w:lvl w:ilvl="0">
      <w:start w:val="1"/>
      <w:numFmt w:val="decimal"/>
      <w:lvlText w:val="（%1）"/>
      <w:lvlJc w:val="left"/>
      <w:pPr>
        <w:ind w:left="828" w:hanging="828"/>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0" w15:restartNumberingAfterBreak="0">
    <w:nsid w:val="704252AC"/>
    <w:multiLevelType w:val="multilevel"/>
    <w:tmpl w:val="88CC596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4C16646"/>
    <w:multiLevelType w:val="multilevel"/>
    <w:tmpl w:val="B5A64A3E"/>
    <w:styleLink w:val="WWNum38"/>
    <w:lvl w:ilvl="0">
      <w:start w:val="1"/>
      <w:numFmt w:val="japaneseCounting"/>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2" w15:restartNumberingAfterBreak="0">
    <w:nsid w:val="78313F66"/>
    <w:multiLevelType w:val="multilevel"/>
    <w:tmpl w:val="CD780D8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9D115A0"/>
    <w:multiLevelType w:val="multilevel"/>
    <w:tmpl w:val="B2227004"/>
    <w:styleLink w:val="WWNum23"/>
    <w:lvl w:ilvl="0">
      <w:start w:val="1"/>
      <w:numFmt w:val="upperLetter"/>
      <w:lvlText w:val="%1."/>
      <w:lvlJc w:val="left"/>
      <w:pPr>
        <w:ind w:left="2628" w:hanging="360"/>
      </w:pPr>
      <w:rPr>
        <w:b/>
        <w:u w:val="none"/>
      </w:rPr>
    </w:lvl>
    <w:lvl w:ilvl="1">
      <w:start w:val="1"/>
      <w:numFmt w:val="ideographTraditional"/>
      <w:lvlText w:val="%2、"/>
      <w:lvlJc w:val="left"/>
      <w:pPr>
        <w:ind w:left="3228" w:hanging="480"/>
      </w:pPr>
    </w:lvl>
    <w:lvl w:ilvl="2">
      <w:start w:val="1"/>
      <w:numFmt w:val="lowerRoman"/>
      <w:lvlText w:val="%1.%2.%3."/>
      <w:lvlJc w:val="right"/>
      <w:pPr>
        <w:ind w:left="3708" w:hanging="480"/>
      </w:pPr>
    </w:lvl>
    <w:lvl w:ilvl="3">
      <w:start w:val="1"/>
      <w:numFmt w:val="decimal"/>
      <w:lvlText w:val="%1.%2.%3.%4."/>
      <w:lvlJc w:val="left"/>
      <w:pPr>
        <w:ind w:left="4188" w:hanging="480"/>
      </w:pPr>
    </w:lvl>
    <w:lvl w:ilvl="4">
      <w:start w:val="1"/>
      <w:numFmt w:val="ideographTraditional"/>
      <w:lvlText w:val="%1.%2.%3.%4.%5、"/>
      <w:lvlJc w:val="left"/>
      <w:pPr>
        <w:ind w:left="4668" w:hanging="480"/>
      </w:pPr>
    </w:lvl>
    <w:lvl w:ilvl="5">
      <w:start w:val="1"/>
      <w:numFmt w:val="lowerRoman"/>
      <w:lvlText w:val="%1.%2.%3.%4.%5.%6."/>
      <w:lvlJc w:val="right"/>
      <w:pPr>
        <w:ind w:left="5148" w:hanging="480"/>
      </w:pPr>
    </w:lvl>
    <w:lvl w:ilvl="6">
      <w:start w:val="1"/>
      <w:numFmt w:val="decimal"/>
      <w:lvlText w:val="%1.%2.%3.%4.%5.%6.%7."/>
      <w:lvlJc w:val="left"/>
      <w:pPr>
        <w:ind w:left="5628" w:hanging="480"/>
      </w:pPr>
    </w:lvl>
    <w:lvl w:ilvl="7">
      <w:start w:val="1"/>
      <w:numFmt w:val="ideographTraditional"/>
      <w:lvlText w:val="%1.%2.%3.%4.%5.%6.%7.%8、"/>
      <w:lvlJc w:val="left"/>
      <w:pPr>
        <w:ind w:left="6108" w:hanging="480"/>
      </w:pPr>
    </w:lvl>
    <w:lvl w:ilvl="8">
      <w:start w:val="1"/>
      <w:numFmt w:val="lowerRoman"/>
      <w:lvlText w:val="%1.%2.%3.%4.%5.%6.%7.%8.%9."/>
      <w:lvlJc w:val="right"/>
      <w:pPr>
        <w:ind w:left="6588" w:hanging="480"/>
      </w:pPr>
    </w:lvl>
  </w:abstractNum>
  <w:abstractNum w:abstractNumId="64" w15:restartNumberingAfterBreak="0">
    <w:nsid w:val="7AF676B1"/>
    <w:multiLevelType w:val="multilevel"/>
    <w:tmpl w:val="8AF2F47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DE22D6E"/>
    <w:multiLevelType w:val="multilevel"/>
    <w:tmpl w:val="15A2446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E8518E0"/>
    <w:multiLevelType w:val="multilevel"/>
    <w:tmpl w:val="DFBCB75C"/>
    <w:styleLink w:val="WWNum22"/>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num w:numId="1">
    <w:abstractNumId w:val="33"/>
  </w:num>
  <w:num w:numId="2">
    <w:abstractNumId w:val="46"/>
  </w:num>
  <w:num w:numId="3">
    <w:abstractNumId w:val="42"/>
  </w:num>
  <w:num w:numId="4">
    <w:abstractNumId w:val="60"/>
  </w:num>
  <w:num w:numId="5">
    <w:abstractNumId w:val="3"/>
  </w:num>
  <w:num w:numId="6">
    <w:abstractNumId w:val="34"/>
  </w:num>
  <w:num w:numId="7">
    <w:abstractNumId w:val="6"/>
  </w:num>
  <w:num w:numId="8">
    <w:abstractNumId w:val="47"/>
  </w:num>
  <w:num w:numId="9">
    <w:abstractNumId w:val="23"/>
  </w:num>
  <w:num w:numId="10">
    <w:abstractNumId w:val="28"/>
  </w:num>
  <w:num w:numId="11">
    <w:abstractNumId w:val="7"/>
  </w:num>
  <w:num w:numId="12">
    <w:abstractNumId w:val="41"/>
  </w:num>
  <w:num w:numId="13">
    <w:abstractNumId w:val="36"/>
  </w:num>
  <w:num w:numId="14">
    <w:abstractNumId w:val="22"/>
  </w:num>
  <w:num w:numId="15">
    <w:abstractNumId w:val="48"/>
  </w:num>
  <w:num w:numId="16">
    <w:abstractNumId w:val="10"/>
  </w:num>
  <w:num w:numId="17">
    <w:abstractNumId w:val="65"/>
  </w:num>
  <w:num w:numId="18">
    <w:abstractNumId w:val="12"/>
  </w:num>
  <w:num w:numId="19">
    <w:abstractNumId w:val="64"/>
  </w:num>
  <w:num w:numId="20">
    <w:abstractNumId w:val="2"/>
  </w:num>
  <w:num w:numId="21">
    <w:abstractNumId w:val="5"/>
  </w:num>
  <w:num w:numId="22">
    <w:abstractNumId w:val="26"/>
  </w:num>
  <w:num w:numId="23">
    <w:abstractNumId w:val="17"/>
  </w:num>
  <w:num w:numId="24">
    <w:abstractNumId w:val="25"/>
  </w:num>
  <w:num w:numId="25">
    <w:abstractNumId w:val="50"/>
  </w:num>
  <w:num w:numId="26">
    <w:abstractNumId w:val="9"/>
  </w:num>
  <w:num w:numId="27">
    <w:abstractNumId w:val="24"/>
  </w:num>
  <w:num w:numId="28">
    <w:abstractNumId w:val="37"/>
  </w:num>
  <w:num w:numId="29">
    <w:abstractNumId w:val="52"/>
  </w:num>
  <w:num w:numId="30">
    <w:abstractNumId w:val="62"/>
  </w:num>
  <w:num w:numId="31">
    <w:abstractNumId w:val="57"/>
  </w:num>
  <w:num w:numId="32">
    <w:abstractNumId w:val="31"/>
  </w:num>
  <w:num w:numId="33">
    <w:abstractNumId w:val="1"/>
  </w:num>
  <w:num w:numId="34">
    <w:abstractNumId w:val="32"/>
  </w:num>
  <w:num w:numId="35">
    <w:abstractNumId w:val="53"/>
  </w:num>
  <w:num w:numId="36">
    <w:abstractNumId w:val="13"/>
  </w:num>
  <w:num w:numId="37">
    <w:abstractNumId w:val="21"/>
  </w:num>
  <w:num w:numId="38">
    <w:abstractNumId w:val="15"/>
  </w:num>
  <w:num w:numId="39">
    <w:abstractNumId w:val="18"/>
  </w:num>
  <w:num w:numId="40">
    <w:abstractNumId w:val="58"/>
  </w:num>
  <w:num w:numId="41">
    <w:abstractNumId w:val="35"/>
  </w:num>
  <w:num w:numId="42">
    <w:abstractNumId w:val="66"/>
  </w:num>
  <w:num w:numId="43">
    <w:abstractNumId w:val="63"/>
  </w:num>
  <w:num w:numId="44">
    <w:abstractNumId w:val="55"/>
  </w:num>
  <w:num w:numId="45">
    <w:abstractNumId w:val="45"/>
  </w:num>
  <w:num w:numId="46">
    <w:abstractNumId w:val="40"/>
  </w:num>
  <w:num w:numId="47">
    <w:abstractNumId w:val="14"/>
  </w:num>
  <w:num w:numId="48">
    <w:abstractNumId w:val="27"/>
  </w:num>
  <w:num w:numId="49">
    <w:abstractNumId w:val="8"/>
  </w:num>
  <w:num w:numId="50">
    <w:abstractNumId w:val="30"/>
  </w:num>
  <w:num w:numId="51">
    <w:abstractNumId w:val="59"/>
  </w:num>
  <w:num w:numId="52">
    <w:abstractNumId w:val="11"/>
  </w:num>
  <w:num w:numId="53">
    <w:abstractNumId w:val="20"/>
  </w:num>
  <w:num w:numId="54">
    <w:abstractNumId w:val="39"/>
  </w:num>
  <w:num w:numId="55">
    <w:abstractNumId w:val="16"/>
  </w:num>
  <w:num w:numId="56">
    <w:abstractNumId w:val="38"/>
  </w:num>
  <w:num w:numId="57">
    <w:abstractNumId w:val="49"/>
  </w:num>
  <w:num w:numId="58">
    <w:abstractNumId w:val="61"/>
  </w:num>
  <w:num w:numId="59">
    <w:abstractNumId w:val="54"/>
  </w:num>
  <w:num w:numId="60">
    <w:abstractNumId w:val="56"/>
  </w:num>
  <w:num w:numId="61">
    <w:abstractNumId w:val="29"/>
  </w:num>
  <w:num w:numId="62">
    <w:abstractNumId w:val="4"/>
  </w:num>
  <w:num w:numId="63">
    <w:abstractNumId w:val="43"/>
  </w:num>
  <w:num w:numId="64">
    <w:abstractNumId w:val="51"/>
  </w:num>
  <w:num w:numId="65">
    <w:abstractNumId w:val="44"/>
  </w:num>
  <w:num w:numId="66">
    <w:abstractNumId w:val="0"/>
  </w:num>
  <w:num w:numId="67">
    <w:abstractNumId w:val="19"/>
  </w:num>
  <w:num w:numId="68">
    <w:abstractNumId w:val="61"/>
    <w:lvlOverride w:ilvl="0">
      <w:startOverride w:val="1"/>
    </w:lvlOverride>
  </w:num>
  <w:num w:numId="69">
    <w:abstractNumId w:val="29"/>
    <w:lvlOverride w:ilvl="0">
      <w:startOverride w:val="1"/>
    </w:lvlOverride>
  </w:num>
  <w:num w:numId="70">
    <w:abstractNumId w:val="43"/>
    <w:lvlOverride w:ilvl="0">
      <w:startOverride w:val="1"/>
    </w:lvlOverride>
  </w:num>
  <w:num w:numId="71">
    <w:abstractNumId w:val="56"/>
    <w:lvlOverride w:ilvl="0">
      <w:startOverride w:val="1"/>
    </w:lvlOverride>
  </w:num>
  <w:num w:numId="72">
    <w:abstractNumId w:val="51"/>
    <w:lvlOverride w:ilvl="0">
      <w:startOverride w:val="1"/>
    </w:lvlOverride>
  </w:num>
  <w:num w:numId="73">
    <w:abstractNumId w:val="44"/>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F60E0"/>
    <w:rsid w:val="000312D4"/>
    <w:rsid w:val="00BF60E0"/>
    <w:rsid w:val="00EC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09DF-20EA-485A-98F9-0A089DF3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a3"/>
    <w:pPr>
      <w:spacing w:before="240" w:after="60"/>
      <w:jc w:val="center"/>
      <w:outlineLvl w:val="0"/>
    </w:pPr>
    <w:rPr>
      <w:rFonts w:ascii="Cambria" w:eastAsia="Cambria" w:hAnsi="Cambria" w:cs="Cambria"/>
      <w:b/>
      <w:bCs/>
      <w:sz w:val="32"/>
      <w:szCs w:val="32"/>
    </w:rPr>
  </w:style>
  <w:style w:type="paragraph" w:customStyle="1" w:styleId="Textbody">
    <w:name w:val="Text body"/>
    <w:basedOn w:val="Standard"/>
    <w:pPr>
      <w:spacing w:after="140" w:line="276" w:lineRule="auto"/>
    </w:pPr>
  </w:style>
  <w:style w:type="paragraph" w:styleId="a4">
    <w:name w:val="List"/>
    <w:basedOn w:val="Textbodyuser"/>
    <w:rPr>
      <w:rFonts w:cs="Mangal"/>
    </w:rPr>
  </w:style>
  <w:style w:type="paragraph" w:styleId="a5">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pacing w:line="460" w:lineRule="exact"/>
      <w:ind w:left="3810" w:hanging="482"/>
    </w:pPr>
    <w:rPr>
      <w:rFonts w:ascii="Calibri" w:eastAsia="新細明體, PMingLiU" w:hAnsi="Calibri" w:cs="Times New Roman"/>
      <w:szCs w:val="22"/>
      <w:lang w:bidi="ar-SA"/>
    </w:rPr>
  </w:style>
  <w:style w:type="paragraph" w:customStyle="1" w:styleId="Textbodyuser">
    <w:name w:val="Text body (user)"/>
    <w:basedOn w:val="Standarduser"/>
    <w:pPr>
      <w:spacing w:after="120"/>
    </w:pPr>
  </w:style>
  <w:style w:type="paragraph" w:customStyle="1" w:styleId="Headinguser">
    <w:name w:val="Heading (user)"/>
    <w:basedOn w:val="Standarduser"/>
    <w:next w:val="Textbodyuser"/>
    <w:pPr>
      <w:keepNext/>
      <w:spacing w:before="240" w:after="120"/>
    </w:pPr>
    <w:rPr>
      <w:rFonts w:ascii="Arial" w:eastAsia="Arial" w:hAnsi="Arial" w:cs="Mangal"/>
      <w:sz w:val="28"/>
      <w:szCs w:val="28"/>
    </w:rPr>
  </w:style>
  <w:style w:type="paragraph" w:customStyle="1" w:styleId="Indexuser">
    <w:name w:val="Index (user)"/>
    <w:basedOn w:val="Standarduser"/>
    <w:pPr>
      <w:suppressLineNumbers/>
    </w:pPr>
    <w:rPr>
      <w:rFonts w:cs="Mangal"/>
    </w:rPr>
  </w:style>
  <w:style w:type="paragraph" w:styleId="a6">
    <w:name w:val="header"/>
    <w:basedOn w:val="Standarduser"/>
    <w:pPr>
      <w:suppressLineNumbers/>
    </w:pPr>
    <w:rPr>
      <w:sz w:val="20"/>
      <w:szCs w:val="20"/>
    </w:rPr>
  </w:style>
  <w:style w:type="paragraph" w:styleId="a7">
    <w:name w:val="footer"/>
    <w:basedOn w:val="Standarduser"/>
    <w:pPr>
      <w:suppressLineNumbers/>
    </w:pPr>
    <w:rPr>
      <w:sz w:val="20"/>
      <w:szCs w:val="20"/>
    </w:rPr>
  </w:style>
  <w:style w:type="paragraph" w:styleId="a3">
    <w:name w:val="Subtitle"/>
    <w:basedOn w:val="Headinguser"/>
    <w:next w:val="Textbodyuser"/>
    <w:uiPriority w:val="11"/>
    <w:qFormat/>
    <w:pPr>
      <w:jc w:val="center"/>
    </w:pPr>
    <w:rPr>
      <w:i/>
      <w:iCs/>
    </w:rPr>
  </w:style>
  <w:style w:type="paragraph" w:styleId="HTML">
    <w:name w:val="HTML Preformatted"/>
    <w:basedOn w:val="Standarduser"/>
    <w:rPr>
      <w:rFonts w:ascii="Courier New" w:eastAsia="Courier New" w:hAnsi="Courier New" w:cs="Courier New"/>
      <w:sz w:val="20"/>
      <w:szCs w:val="20"/>
    </w:rPr>
  </w:style>
  <w:style w:type="paragraph" w:styleId="a8">
    <w:name w:val="List Paragraph"/>
    <w:basedOn w:val="Standarduser"/>
    <w:pPr>
      <w:ind w:left="480"/>
    </w:pPr>
  </w:style>
  <w:style w:type="paragraph" w:styleId="a9">
    <w:name w:val="Balloon Text"/>
    <w:basedOn w:val="Standarduser"/>
    <w:rPr>
      <w:rFonts w:ascii="Cambria" w:eastAsia="Cambria" w:hAnsi="Cambria" w:cs="Cambria"/>
      <w:sz w:val="18"/>
      <w:szCs w:val="18"/>
    </w:rPr>
  </w:style>
  <w:style w:type="paragraph" w:styleId="aa">
    <w:name w:val="annotation text"/>
    <w:basedOn w:val="Standarduser"/>
  </w:style>
  <w:style w:type="paragraph" w:styleId="ab">
    <w:name w:val="annotation subject"/>
    <w:basedOn w:val="aa"/>
    <w:rPr>
      <w:b/>
      <w:bCs/>
    </w:rPr>
  </w:style>
  <w:style w:type="paragraph" w:customStyle="1" w:styleId="Default">
    <w:name w:val="Default"/>
    <w:pPr>
      <w:widowControl/>
      <w:spacing w:line="460" w:lineRule="exact"/>
      <w:ind w:left="3810" w:hanging="482"/>
    </w:pPr>
    <w:rPr>
      <w:rFonts w:ascii="標楷體" w:eastAsia="標楷體" w:hAnsi="標楷體" w:cs="標楷體"/>
      <w:color w:val="000000"/>
      <w:lang w:bidi="ar-SA"/>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PreformattedTextuser">
    <w:name w:val="Preformatted Text (user)"/>
    <w:basedOn w:val="Standarduser"/>
    <w:rPr>
      <w:rFonts w:ascii="Courier New" w:eastAsia="細明體, MingLiU" w:hAnsi="Courier New" w:cs="Courier New"/>
      <w:sz w:val="20"/>
      <w:szCs w:val="2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00000A"/>
    </w:rPr>
  </w:style>
  <w:style w:type="character" w:customStyle="1" w:styleId="WW8Num6z1">
    <w:name w:val="WW8Num6z1"/>
    <w:rPr>
      <w:b/>
      <w:color w:val="00000A"/>
      <w:lang w:val="en-US"/>
    </w:rPr>
  </w:style>
  <w:style w:type="character" w:customStyle="1" w:styleId="WW8Num6z2">
    <w:name w:val="WW8Num6z2"/>
    <w:rPr>
      <w:rFonts w:eastAsia="標楷體" w:cs="Times New Roman"/>
      <w:strike w:val="0"/>
      <w:dstrike w:val="0"/>
      <w:color w:val="00000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標楷體"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u w:val="no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A"/>
    </w:rPr>
  </w:style>
  <w:style w:type="character" w:customStyle="1" w:styleId="WW8Num16z1">
    <w:name w:val="WW8Num16z1"/>
    <w:rPr>
      <w:b/>
      <w:color w:val="00000A"/>
    </w:rPr>
  </w:style>
  <w:style w:type="character" w:customStyle="1" w:styleId="WW8Num16z2">
    <w:name w:val="WW8Num16z2"/>
  </w:style>
  <w:style w:type="character" w:customStyle="1" w:styleId="WW8Num16z3">
    <w:name w:val="WW8Num16z3"/>
  </w:style>
  <w:style w:type="character" w:customStyle="1" w:styleId="WW8Num16z4">
    <w:name w:val="WW8Num16z4"/>
    <w:rPr>
      <w:rFonts w:eastAsia="標楷體"/>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c">
    <w:name w:val="頁首 字元"/>
    <w:rPr>
      <w:sz w:val="20"/>
      <w:szCs w:val="20"/>
    </w:rPr>
  </w:style>
  <w:style w:type="character" w:customStyle="1" w:styleId="ad">
    <w:name w:val="頁尾 字元"/>
    <w:rPr>
      <w:sz w:val="20"/>
      <w:szCs w:val="20"/>
    </w:rPr>
  </w:style>
  <w:style w:type="character" w:customStyle="1" w:styleId="ae">
    <w:name w:val="標題 字元"/>
    <w:rPr>
      <w:rFonts w:ascii="Cambria" w:eastAsia="新細明體, PMingLiU" w:hAnsi="Cambria" w:cs="Times New Roman"/>
      <w:b/>
      <w:bCs/>
      <w:sz w:val="32"/>
      <w:szCs w:val="32"/>
    </w:rPr>
  </w:style>
  <w:style w:type="character" w:customStyle="1" w:styleId="HTML0">
    <w:name w:val="HTML 預設格式 字元"/>
    <w:rPr>
      <w:rFonts w:ascii="Courier New" w:eastAsia="Courier New" w:hAnsi="Courier New" w:cs="Courier New"/>
      <w:sz w:val="20"/>
      <w:szCs w:val="20"/>
    </w:rPr>
  </w:style>
  <w:style w:type="character" w:customStyle="1" w:styleId="af">
    <w:name w:val="註解方塊文字 字元"/>
    <w:rPr>
      <w:rFonts w:ascii="Cambria" w:eastAsia="新細明體, PMingLiU" w:hAnsi="Cambria" w:cs="Times New Roman"/>
      <w:sz w:val="18"/>
      <w:szCs w:val="18"/>
    </w:rPr>
  </w:style>
  <w:style w:type="character" w:styleId="af0">
    <w:name w:val="annotation reference"/>
    <w:rPr>
      <w:sz w:val="18"/>
      <w:szCs w:val="18"/>
    </w:rPr>
  </w:style>
  <w:style w:type="character" w:customStyle="1" w:styleId="af1">
    <w:name w:val="註解文字 字元"/>
    <w:rPr>
      <w:kern w:val="3"/>
      <w:sz w:val="24"/>
      <w:szCs w:val="22"/>
    </w:rPr>
  </w:style>
  <w:style w:type="character" w:customStyle="1" w:styleId="af2">
    <w:name w:val="註解主旨 字元"/>
    <w:rPr>
      <w:b/>
      <w:bCs/>
      <w:kern w:val="3"/>
      <w:sz w:val="24"/>
      <w:szCs w:val="22"/>
    </w:rPr>
  </w:style>
  <w:style w:type="character" w:customStyle="1" w:styleId="ListLabel1">
    <w:name w:val="ListLabel 1"/>
    <w:rPr>
      <w:rFonts w:eastAsia="標楷體" w:cs="Times New Roman"/>
    </w:rPr>
  </w:style>
  <w:style w:type="character" w:customStyle="1" w:styleId="ListLabel2">
    <w:name w:val="ListLabel 2"/>
    <w:rPr>
      <w:color w:val="00000A"/>
    </w:rPr>
  </w:style>
  <w:style w:type="character" w:customStyle="1" w:styleId="ListLabel3">
    <w:name w:val="ListLabel 3"/>
    <w:rPr>
      <w:b/>
      <w:color w:val="00000A"/>
      <w:lang w:val="en-US"/>
    </w:rPr>
  </w:style>
  <w:style w:type="character" w:customStyle="1" w:styleId="ListLabel4">
    <w:name w:val="ListLabel 4"/>
    <w:rPr>
      <w:rFonts w:eastAsia="標楷體" w:cs="Times New Roman"/>
      <w:strike w:val="0"/>
      <w:dstrike w:val="0"/>
      <w:color w:val="000000"/>
    </w:rPr>
  </w:style>
  <w:style w:type="character" w:customStyle="1" w:styleId="ListLabel5">
    <w:name w:val="ListLabel 5"/>
    <w:rPr>
      <w:b/>
      <w:u w:val="none"/>
    </w:rPr>
  </w:style>
  <w:style w:type="character" w:customStyle="1" w:styleId="ListLabel6">
    <w:name w:val="ListLabel 6"/>
    <w:rPr>
      <w:b w:val="0"/>
    </w:rPr>
  </w:style>
  <w:style w:type="character" w:customStyle="1" w:styleId="ListLabel7">
    <w:name w:val="ListLabel 7"/>
    <w:rPr>
      <w:b/>
      <w:color w:val="00000A"/>
    </w:rPr>
  </w:style>
  <w:style w:type="character" w:customStyle="1" w:styleId="ListLabel8">
    <w:name w:val="ListLabel 8"/>
    <w:rPr>
      <w:rFonts w:eastAsia="標楷體"/>
    </w:rPr>
  </w:style>
  <w:style w:type="character" w:customStyle="1" w:styleId="ListLabel9">
    <w:name w:val="ListLabel 9"/>
    <w:rPr>
      <w:b/>
      <w:u w:val="none"/>
    </w:rPr>
  </w:style>
  <w:style w:type="character" w:customStyle="1" w:styleId="ListLabel10">
    <w:name w:val="ListLabel 10"/>
    <w:rPr>
      <w:color w:val="00000A"/>
    </w:rPr>
  </w:style>
  <w:style w:type="character" w:customStyle="1" w:styleId="ListLabel11">
    <w:name w:val="ListLabel 11"/>
    <w:rPr>
      <w:b/>
      <w:color w:val="00000A"/>
      <w:lang w:val="en-US"/>
    </w:rPr>
  </w:style>
  <w:style w:type="character" w:customStyle="1" w:styleId="ListLabel12">
    <w:name w:val="ListLabel 12"/>
    <w:rPr>
      <w:rFonts w:eastAsia="標楷體" w:cs="Times New Roman"/>
      <w:strike w:val="0"/>
      <w:dstrike w:val="0"/>
      <w:color w:val="000000"/>
    </w:rPr>
  </w:style>
  <w:style w:type="character" w:customStyle="1" w:styleId="ListLabel13">
    <w:name w:val="ListLabel 13"/>
    <w:rPr>
      <w:b w:val="0"/>
    </w:rPr>
  </w:style>
  <w:style w:type="character" w:customStyle="1" w:styleId="ListLabel14">
    <w:name w:val="ListLabel 14"/>
    <w:rPr>
      <w:rFonts w:eastAsia="標楷體" w:cs="Times New Roman"/>
    </w:rPr>
  </w:style>
  <w:style w:type="character" w:customStyle="1" w:styleId="ListLabel15">
    <w:name w:val="ListLabel 15"/>
    <w:rPr>
      <w:b/>
      <w:u w:val="none"/>
    </w:rPr>
  </w:style>
  <w:style w:type="character" w:customStyle="1" w:styleId="ListLabel16">
    <w:name w:val="ListLabel 16"/>
    <w:rPr>
      <w:color w:val="00000A"/>
    </w:rPr>
  </w:style>
  <w:style w:type="character" w:customStyle="1" w:styleId="ListLabel17">
    <w:name w:val="ListLabel 17"/>
    <w:rPr>
      <w:b/>
      <w:color w:val="00000A"/>
    </w:rPr>
  </w:style>
  <w:style w:type="character" w:customStyle="1" w:styleId="ListLabel18">
    <w:name w:val="ListLabel 18"/>
    <w:rPr>
      <w:rFonts w:eastAsia="標楷體"/>
    </w:rPr>
  </w:style>
  <w:style w:type="character" w:customStyle="1" w:styleId="ListLabel19">
    <w:name w:val="ListLabel 19"/>
    <w:rPr>
      <w:b/>
      <w:u w:val="none"/>
    </w:rPr>
  </w:style>
  <w:style w:type="character" w:customStyle="1" w:styleId="ListLabel20">
    <w:name w:val="ListLabel 20"/>
    <w:rPr>
      <w:color w:val="00000A"/>
    </w:rPr>
  </w:style>
  <w:style w:type="character" w:customStyle="1" w:styleId="ListLabel21">
    <w:name w:val="ListLabel 21"/>
    <w:rPr>
      <w:b/>
      <w:color w:val="00000A"/>
      <w:lang w:val="en-US"/>
    </w:rPr>
  </w:style>
  <w:style w:type="character" w:customStyle="1" w:styleId="ListLabel22">
    <w:name w:val="ListLabel 22"/>
    <w:rPr>
      <w:rFonts w:eastAsia="標楷體" w:cs="Times New Roman"/>
      <w:strike w:val="0"/>
      <w:dstrike w:val="0"/>
      <w:color w:val="000000"/>
    </w:rPr>
  </w:style>
  <w:style w:type="character" w:customStyle="1" w:styleId="ListLabel23">
    <w:name w:val="ListLabel 23"/>
    <w:rPr>
      <w:b w:val="0"/>
    </w:rPr>
  </w:style>
  <w:style w:type="character" w:customStyle="1" w:styleId="ListLabel24">
    <w:name w:val="ListLabel 24"/>
    <w:rPr>
      <w:rFonts w:eastAsia="標楷體" w:cs="Times New Roman"/>
    </w:rPr>
  </w:style>
  <w:style w:type="character" w:customStyle="1" w:styleId="ListLabel25">
    <w:name w:val="ListLabel 25"/>
    <w:rPr>
      <w:b/>
      <w:u w:val="none"/>
    </w:rPr>
  </w:style>
  <w:style w:type="character" w:customStyle="1" w:styleId="ListLabel26">
    <w:name w:val="ListLabel 26"/>
    <w:rPr>
      <w:color w:val="00000A"/>
    </w:rPr>
  </w:style>
  <w:style w:type="character" w:customStyle="1" w:styleId="ListLabel27">
    <w:name w:val="ListLabel 27"/>
    <w:rPr>
      <w:b/>
      <w:color w:val="00000A"/>
    </w:rPr>
  </w:style>
  <w:style w:type="character" w:customStyle="1" w:styleId="ListLabel28">
    <w:name w:val="ListLabel 28"/>
    <w:rPr>
      <w:rFonts w:eastAsia="標楷體"/>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 w:type="numbering" w:customStyle="1" w:styleId="WWNum1">
    <w:name w:val="WWNum1"/>
    <w:basedOn w:val="a2"/>
    <w:pPr>
      <w:numPr>
        <w:numId w:val="21"/>
      </w:numPr>
    </w:pPr>
  </w:style>
  <w:style w:type="numbering" w:customStyle="1" w:styleId="WWNum2">
    <w:name w:val="WWNum2"/>
    <w:basedOn w:val="a2"/>
    <w:pPr>
      <w:numPr>
        <w:numId w:val="22"/>
      </w:numPr>
    </w:pPr>
  </w:style>
  <w:style w:type="numbering" w:customStyle="1" w:styleId="WWNum3">
    <w:name w:val="WWNum3"/>
    <w:basedOn w:val="a2"/>
    <w:pPr>
      <w:numPr>
        <w:numId w:val="23"/>
      </w:numPr>
    </w:pPr>
  </w:style>
  <w:style w:type="numbering" w:customStyle="1" w:styleId="WWNum4">
    <w:name w:val="WWNum4"/>
    <w:basedOn w:val="a2"/>
    <w:pPr>
      <w:numPr>
        <w:numId w:val="24"/>
      </w:numPr>
    </w:pPr>
  </w:style>
  <w:style w:type="numbering" w:customStyle="1" w:styleId="WWNum5">
    <w:name w:val="WWNum5"/>
    <w:basedOn w:val="a2"/>
    <w:pPr>
      <w:numPr>
        <w:numId w:val="25"/>
      </w:numPr>
    </w:pPr>
  </w:style>
  <w:style w:type="numbering" w:customStyle="1" w:styleId="WWNum6">
    <w:name w:val="WWNum6"/>
    <w:basedOn w:val="a2"/>
    <w:pPr>
      <w:numPr>
        <w:numId w:val="26"/>
      </w:numPr>
    </w:pPr>
  </w:style>
  <w:style w:type="numbering" w:customStyle="1" w:styleId="WWNum7">
    <w:name w:val="WWNum7"/>
    <w:basedOn w:val="a2"/>
    <w:pPr>
      <w:numPr>
        <w:numId w:val="27"/>
      </w:numPr>
    </w:pPr>
  </w:style>
  <w:style w:type="numbering" w:customStyle="1" w:styleId="WWNum8">
    <w:name w:val="WWNum8"/>
    <w:basedOn w:val="a2"/>
    <w:pPr>
      <w:numPr>
        <w:numId w:val="28"/>
      </w:numPr>
    </w:pPr>
  </w:style>
  <w:style w:type="numbering" w:customStyle="1" w:styleId="WWNum9">
    <w:name w:val="WWNum9"/>
    <w:basedOn w:val="a2"/>
    <w:pPr>
      <w:numPr>
        <w:numId w:val="29"/>
      </w:numPr>
    </w:pPr>
  </w:style>
  <w:style w:type="numbering" w:customStyle="1" w:styleId="WWNum10">
    <w:name w:val="WWNum10"/>
    <w:basedOn w:val="a2"/>
    <w:pPr>
      <w:numPr>
        <w:numId w:val="30"/>
      </w:numPr>
    </w:pPr>
  </w:style>
  <w:style w:type="numbering" w:customStyle="1" w:styleId="WWNum11">
    <w:name w:val="WWNum11"/>
    <w:basedOn w:val="a2"/>
    <w:pPr>
      <w:numPr>
        <w:numId w:val="31"/>
      </w:numPr>
    </w:pPr>
  </w:style>
  <w:style w:type="numbering" w:customStyle="1" w:styleId="WWNum12">
    <w:name w:val="WWNum12"/>
    <w:basedOn w:val="a2"/>
    <w:pPr>
      <w:numPr>
        <w:numId w:val="32"/>
      </w:numPr>
    </w:pPr>
  </w:style>
  <w:style w:type="numbering" w:customStyle="1" w:styleId="WWNum13">
    <w:name w:val="WWNum13"/>
    <w:basedOn w:val="a2"/>
    <w:pPr>
      <w:numPr>
        <w:numId w:val="33"/>
      </w:numPr>
    </w:pPr>
  </w:style>
  <w:style w:type="numbering" w:customStyle="1" w:styleId="WWNum14">
    <w:name w:val="WWNum14"/>
    <w:basedOn w:val="a2"/>
    <w:pPr>
      <w:numPr>
        <w:numId w:val="34"/>
      </w:numPr>
    </w:pPr>
  </w:style>
  <w:style w:type="numbering" w:customStyle="1" w:styleId="WWNum15">
    <w:name w:val="WWNum15"/>
    <w:basedOn w:val="a2"/>
    <w:pPr>
      <w:numPr>
        <w:numId w:val="35"/>
      </w:numPr>
    </w:pPr>
  </w:style>
  <w:style w:type="numbering" w:customStyle="1" w:styleId="WWNum16">
    <w:name w:val="WWNum16"/>
    <w:basedOn w:val="a2"/>
    <w:pPr>
      <w:numPr>
        <w:numId w:val="36"/>
      </w:numPr>
    </w:pPr>
  </w:style>
  <w:style w:type="numbering" w:customStyle="1" w:styleId="WWNum17">
    <w:name w:val="WWNum17"/>
    <w:basedOn w:val="a2"/>
    <w:pPr>
      <w:numPr>
        <w:numId w:val="37"/>
      </w:numPr>
    </w:pPr>
  </w:style>
  <w:style w:type="numbering" w:customStyle="1" w:styleId="WWNum18">
    <w:name w:val="WWNum18"/>
    <w:basedOn w:val="a2"/>
    <w:pPr>
      <w:numPr>
        <w:numId w:val="38"/>
      </w:numPr>
    </w:pPr>
  </w:style>
  <w:style w:type="numbering" w:customStyle="1" w:styleId="WWNum19">
    <w:name w:val="WWNum19"/>
    <w:basedOn w:val="a2"/>
    <w:pPr>
      <w:numPr>
        <w:numId w:val="39"/>
      </w:numPr>
    </w:pPr>
  </w:style>
  <w:style w:type="numbering" w:customStyle="1" w:styleId="WWNum20">
    <w:name w:val="WWNum20"/>
    <w:basedOn w:val="a2"/>
    <w:pPr>
      <w:numPr>
        <w:numId w:val="40"/>
      </w:numPr>
    </w:pPr>
  </w:style>
  <w:style w:type="numbering" w:customStyle="1" w:styleId="WWNum21">
    <w:name w:val="WWNum21"/>
    <w:basedOn w:val="a2"/>
    <w:pPr>
      <w:numPr>
        <w:numId w:val="41"/>
      </w:numPr>
    </w:pPr>
  </w:style>
  <w:style w:type="numbering" w:customStyle="1" w:styleId="WWNum22">
    <w:name w:val="WWNum22"/>
    <w:basedOn w:val="a2"/>
    <w:pPr>
      <w:numPr>
        <w:numId w:val="42"/>
      </w:numPr>
    </w:pPr>
  </w:style>
  <w:style w:type="numbering" w:customStyle="1" w:styleId="WWNum23">
    <w:name w:val="WWNum23"/>
    <w:basedOn w:val="a2"/>
    <w:pPr>
      <w:numPr>
        <w:numId w:val="43"/>
      </w:numPr>
    </w:pPr>
  </w:style>
  <w:style w:type="numbering" w:customStyle="1" w:styleId="WWNum24">
    <w:name w:val="WWNum24"/>
    <w:basedOn w:val="a2"/>
    <w:pPr>
      <w:numPr>
        <w:numId w:val="44"/>
      </w:numPr>
    </w:pPr>
  </w:style>
  <w:style w:type="numbering" w:customStyle="1" w:styleId="WWNum25">
    <w:name w:val="WWNum25"/>
    <w:basedOn w:val="a2"/>
    <w:pPr>
      <w:numPr>
        <w:numId w:val="45"/>
      </w:numPr>
    </w:pPr>
  </w:style>
  <w:style w:type="numbering" w:customStyle="1" w:styleId="WWNum26">
    <w:name w:val="WWNum26"/>
    <w:basedOn w:val="a2"/>
    <w:pPr>
      <w:numPr>
        <w:numId w:val="46"/>
      </w:numPr>
    </w:pPr>
  </w:style>
  <w:style w:type="numbering" w:customStyle="1" w:styleId="WWNum27">
    <w:name w:val="WWNum27"/>
    <w:basedOn w:val="a2"/>
    <w:pPr>
      <w:numPr>
        <w:numId w:val="47"/>
      </w:numPr>
    </w:pPr>
  </w:style>
  <w:style w:type="numbering" w:customStyle="1" w:styleId="WWNum28">
    <w:name w:val="WWNum28"/>
    <w:basedOn w:val="a2"/>
    <w:pPr>
      <w:numPr>
        <w:numId w:val="48"/>
      </w:numPr>
    </w:pPr>
  </w:style>
  <w:style w:type="numbering" w:customStyle="1" w:styleId="WWNum29">
    <w:name w:val="WWNum29"/>
    <w:basedOn w:val="a2"/>
    <w:pPr>
      <w:numPr>
        <w:numId w:val="49"/>
      </w:numPr>
    </w:pPr>
  </w:style>
  <w:style w:type="numbering" w:customStyle="1" w:styleId="WWNum30">
    <w:name w:val="WWNum30"/>
    <w:basedOn w:val="a2"/>
    <w:pPr>
      <w:numPr>
        <w:numId w:val="50"/>
      </w:numPr>
    </w:pPr>
  </w:style>
  <w:style w:type="numbering" w:customStyle="1" w:styleId="WWNum31">
    <w:name w:val="WWNum31"/>
    <w:basedOn w:val="a2"/>
    <w:pPr>
      <w:numPr>
        <w:numId w:val="51"/>
      </w:numPr>
    </w:pPr>
  </w:style>
  <w:style w:type="numbering" w:customStyle="1" w:styleId="WWNum32">
    <w:name w:val="WWNum32"/>
    <w:basedOn w:val="a2"/>
    <w:pPr>
      <w:numPr>
        <w:numId w:val="52"/>
      </w:numPr>
    </w:pPr>
  </w:style>
  <w:style w:type="numbering" w:customStyle="1" w:styleId="WWNum33">
    <w:name w:val="WWNum33"/>
    <w:basedOn w:val="a2"/>
    <w:pPr>
      <w:numPr>
        <w:numId w:val="53"/>
      </w:numPr>
    </w:pPr>
  </w:style>
  <w:style w:type="numbering" w:customStyle="1" w:styleId="WWNum34">
    <w:name w:val="WWNum34"/>
    <w:basedOn w:val="a2"/>
    <w:pPr>
      <w:numPr>
        <w:numId w:val="54"/>
      </w:numPr>
    </w:pPr>
  </w:style>
  <w:style w:type="numbering" w:customStyle="1" w:styleId="WWNum35">
    <w:name w:val="WWNum35"/>
    <w:basedOn w:val="a2"/>
    <w:pPr>
      <w:numPr>
        <w:numId w:val="55"/>
      </w:numPr>
    </w:pPr>
  </w:style>
  <w:style w:type="numbering" w:customStyle="1" w:styleId="WWNum36">
    <w:name w:val="WWNum36"/>
    <w:basedOn w:val="a2"/>
    <w:pPr>
      <w:numPr>
        <w:numId w:val="56"/>
      </w:numPr>
    </w:pPr>
  </w:style>
  <w:style w:type="numbering" w:customStyle="1" w:styleId="WWNum37">
    <w:name w:val="WWNum37"/>
    <w:basedOn w:val="a2"/>
    <w:pPr>
      <w:numPr>
        <w:numId w:val="57"/>
      </w:numPr>
    </w:pPr>
  </w:style>
  <w:style w:type="numbering" w:customStyle="1" w:styleId="WWNum38">
    <w:name w:val="WWNum38"/>
    <w:basedOn w:val="a2"/>
    <w:pPr>
      <w:numPr>
        <w:numId w:val="58"/>
      </w:numPr>
    </w:pPr>
  </w:style>
  <w:style w:type="numbering" w:customStyle="1" w:styleId="WWNum39">
    <w:name w:val="WWNum39"/>
    <w:basedOn w:val="a2"/>
    <w:pPr>
      <w:numPr>
        <w:numId w:val="59"/>
      </w:numPr>
    </w:pPr>
  </w:style>
  <w:style w:type="numbering" w:customStyle="1" w:styleId="WWNum40">
    <w:name w:val="WWNum40"/>
    <w:basedOn w:val="a2"/>
    <w:pPr>
      <w:numPr>
        <w:numId w:val="60"/>
      </w:numPr>
    </w:pPr>
  </w:style>
  <w:style w:type="numbering" w:customStyle="1" w:styleId="WWNum41">
    <w:name w:val="WWNum41"/>
    <w:basedOn w:val="a2"/>
    <w:pPr>
      <w:numPr>
        <w:numId w:val="61"/>
      </w:numPr>
    </w:pPr>
  </w:style>
  <w:style w:type="numbering" w:customStyle="1" w:styleId="WWNum42">
    <w:name w:val="WWNum42"/>
    <w:basedOn w:val="a2"/>
    <w:pPr>
      <w:numPr>
        <w:numId w:val="62"/>
      </w:numPr>
    </w:pPr>
  </w:style>
  <w:style w:type="numbering" w:customStyle="1" w:styleId="WWNum43">
    <w:name w:val="WWNum43"/>
    <w:basedOn w:val="a2"/>
    <w:pPr>
      <w:numPr>
        <w:numId w:val="63"/>
      </w:numPr>
    </w:pPr>
  </w:style>
  <w:style w:type="numbering" w:customStyle="1" w:styleId="WWNum44">
    <w:name w:val="WWNum44"/>
    <w:basedOn w:val="a2"/>
    <w:pPr>
      <w:numPr>
        <w:numId w:val="64"/>
      </w:numPr>
    </w:pPr>
  </w:style>
  <w:style w:type="numbering" w:customStyle="1" w:styleId="WWNum45">
    <w:name w:val="WWNum45"/>
    <w:basedOn w:val="a2"/>
    <w:pPr>
      <w:numPr>
        <w:numId w:val="65"/>
      </w:numPr>
    </w:pPr>
  </w:style>
  <w:style w:type="numbering" w:customStyle="1" w:styleId="WWNum46">
    <w:name w:val="WWNum46"/>
    <w:basedOn w:val="a2"/>
    <w:pPr>
      <w:numPr>
        <w:numId w:val="66"/>
      </w:numPr>
    </w:pPr>
  </w:style>
  <w:style w:type="numbering" w:customStyle="1" w:styleId="WWNum47">
    <w:name w:val="WWNum47"/>
    <w:basedOn w:val="a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2023-02-10T06:02:00Z</cp:lastPrinted>
  <dcterms:created xsi:type="dcterms:W3CDTF">2023-03-03T05:48:00Z</dcterms:created>
  <dcterms:modified xsi:type="dcterms:W3CDTF">2023-03-03T05:48:00Z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